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3E7E0902" w:rsidR="00F85DFC" w:rsidRPr="00CB6616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  <w:lang w:val="en-US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CB6616">
        <w:rPr>
          <w:rFonts w:ascii="Tahoma" w:hAnsi="Tahoma" w:cs="Tahoma"/>
          <w:b/>
          <w:color w:val="0000CC"/>
          <w:sz w:val="19"/>
          <w:szCs w:val="19"/>
          <w:lang w:val="en-US"/>
        </w:rPr>
        <w:t>91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6B64D663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CB6616">
        <w:rPr>
          <w:rFonts w:ascii="Tahoma" w:hAnsi="Tahoma" w:cs="Tahoma"/>
          <w:sz w:val="19"/>
          <w:szCs w:val="19"/>
          <w:lang w:val="en-US"/>
        </w:rPr>
        <w:t>22</w:t>
      </w:r>
      <w:r w:rsidR="00576CCB">
        <w:rPr>
          <w:rFonts w:ascii="Tahoma" w:hAnsi="Tahoma" w:cs="Tahoma"/>
          <w:sz w:val="19"/>
          <w:szCs w:val="19"/>
        </w:rPr>
        <w:t>_</w:t>
      </w:r>
      <w:r w:rsidR="005332D4">
        <w:rPr>
          <w:rFonts w:ascii="Tahoma" w:hAnsi="Tahoma" w:cs="Tahoma"/>
          <w:sz w:val="19"/>
          <w:szCs w:val="19"/>
        </w:rPr>
        <w:t>_</w:t>
      </w:r>
      <w:r>
        <w:rPr>
          <w:rFonts w:ascii="Tahoma" w:hAnsi="Tahoma" w:cs="Tahoma"/>
          <w:sz w:val="19"/>
          <w:szCs w:val="19"/>
        </w:rPr>
        <w:t xml:space="preserve">» </w:t>
      </w:r>
      <w:r w:rsidR="00576CCB">
        <w:rPr>
          <w:rFonts w:ascii="Tahoma" w:hAnsi="Tahoma" w:cs="Tahoma"/>
          <w:sz w:val="19"/>
          <w:szCs w:val="19"/>
        </w:rPr>
        <w:t xml:space="preserve">ноября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2022 г.</w:t>
      </w:r>
    </w:p>
    <w:p w14:paraId="6FFFA7B5" w14:textId="27BD0096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поставщиков представить свои конкурсные заявки на </w:t>
      </w:r>
      <w:r w:rsidR="00576CCB">
        <w:rPr>
          <w:rFonts w:ascii="Tahoma" w:hAnsi="Tahoma" w:cs="Tahoma"/>
          <w:sz w:val="19"/>
          <w:szCs w:val="19"/>
        </w:rPr>
        <w:t>закупку услуг</w:t>
      </w:r>
      <w:r w:rsidR="00576CCB" w:rsidRPr="00576CCB">
        <w:rPr>
          <w:rFonts w:ascii="Tahoma" w:hAnsi="Tahoma" w:cs="Tahoma"/>
          <w:sz w:val="19"/>
          <w:szCs w:val="19"/>
        </w:rPr>
        <w:t xml:space="preserve"> по проведению </w:t>
      </w:r>
      <w:proofErr w:type="spellStart"/>
      <w:r w:rsidR="00576CCB" w:rsidRPr="00576CCB">
        <w:rPr>
          <w:rFonts w:ascii="Tahoma" w:hAnsi="Tahoma" w:cs="Tahoma"/>
          <w:sz w:val="19"/>
          <w:szCs w:val="19"/>
        </w:rPr>
        <w:t>ресертификационного</w:t>
      </w:r>
      <w:proofErr w:type="spellEnd"/>
      <w:r w:rsidR="00576CCB" w:rsidRPr="00576CCB">
        <w:rPr>
          <w:rFonts w:ascii="Tahoma" w:hAnsi="Tahoma" w:cs="Tahoma"/>
          <w:sz w:val="19"/>
          <w:szCs w:val="19"/>
        </w:rPr>
        <w:t xml:space="preserve"> аудита по Системе менеджмента качества</w:t>
      </w:r>
      <w:r w:rsidR="004C5575">
        <w:rPr>
          <w:rFonts w:ascii="Tahoma" w:hAnsi="Tahoma" w:cs="Tahoma"/>
          <w:sz w:val="19"/>
          <w:szCs w:val="19"/>
        </w:rPr>
        <w:t xml:space="preserve"> (</w:t>
      </w:r>
      <w:r w:rsidRPr="00CF333A">
        <w:rPr>
          <w:rFonts w:ascii="Tahoma" w:hAnsi="Tahoma" w:cs="Tahoma"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6F1EBC">
        <w:trPr>
          <w:trHeight w:val="524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72BF7EE5" w:rsidR="00F85DFC" w:rsidRPr="00A769A2" w:rsidRDefault="00F85DFC" w:rsidP="00D0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="00CB6616" w:rsidRPr="00CB6616">
              <w:rPr>
                <w:rFonts w:ascii="Tahoma" w:hAnsi="Tahoma" w:cs="Tahoma"/>
                <w:b/>
                <w:sz w:val="18"/>
                <w:szCs w:val="19"/>
              </w:rPr>
              <w:t>29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CB6616">
              <w:rPr>
                <w:rFonts w:ascii="Tahoma" w:hAnsi="Tahoma" w:cs="Tahoma"/>
                <w:b/>
                <w:sz w:val="18"/>
                <w:szCs w:val="19"/>
                <w:lang w:val="en-US"/>
              </w:rPr>
              <w:t>11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11:59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64072557" w:rsidR="00F85DFC" w:rsidRPr="00A769A2" w:rsidRDefault="00F85DFC" w:rsidP="00D0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CB6616" w:rsidRPr="00CB6616">
              <w:rPr>
                <w:rFonts w:ascii="Tahoma" w:hAnsi="Tahoma" w:cs="Tahoma"/>
                <w:b/>
                <w:sz w:val="18"/>
                <w:szCs w:val="19"/>
              </w:rPr>
              <w:t>29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CB6616" w:rsidRPr="00CB6616">
              <w:rPr>
                <w:rFonts w:ascii="Tahoma" w:hAnsi="Tahoma" w:cs="Tahoma"/>
                <w:b/>
                <w:sz w:val="18"/>
                <w:szCs w:val="19"/>
              </w:rPr>
              <w:t>11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12:00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4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2A433118" w14:textId="1BE06AEF" w:rsidR="00F85DFC" w:rsidRPr="00A769A2" w:rsidRDefault="00F85DFC" w:rsidP="0057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CB6616" w:rsidRPr="00CB6616">
              <w:rPr>
                <w:rFonts w:ascii="Tahoma" w:hAnsi="Tahoma" w:cs="Tahoma"/>
                <w:b/>
                <w:i/>
                <w:sz w:val="18"/>
                <w:szCs w:val="19"/>
              </w:rPr>
              <w:t>29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CB6616" w:rsidRPr="00CB6616">
              <w:rPr>
                <w:rFonts w:ascii="Tahoma" w:hAnsi="Tahoma" w:cs="Tahoma"/>
                <w:b/>
                <w:i/>
                <w:sz w:val="18"/>
                <w:szCs w:val="19"/>
              </w:rPr>
              <w:t>11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.2022г. в 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5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2F247F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57678F2F" w14:textId="3AECE4A7" w:rsidR="006F1EBC" w:rsidRPr="006F1EBC" w:rsidRDefault="00343787" w:rsidP="002F247F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color w:val="FF0000"/>
          <w:sz w:val="19"/>
          <w:szCs w:val="19"/>
        </w:rPr>
      </w:pPr>
      <w:r w:rsidRPr="006F1EBC">
        <w:rPr>
          <w:rFonts w:ascii="Tahoma" w:hAnsi="Tahoma" w:cs="Tahoma"/>
          <w:color w:val="FF0000"/>
          <w:sz w:val="19"/>
          <w:szCs w:val="19"/>
        </w:rPr>
        <w:t xml:space="preserve"> </w:t>
      </w:r>
      <w:r w:rsidR="009D6D88" w:rsidRPr="006F1EBC">
        <w:rPr>
          <w:rFonts w:ascii="Tahoma" w:hAnsi="Tahoma" w:cs="Tahoma"/>
          <w:color w:val="FF0000"/>
          <w:sz w:val="19"/>
          <w:szCs w:val="19"/>
        </w:rPr>
        <w:t xml:space="preserve">Каждый </w:t>
      </w:r>
      <w:r w:rsidR="00542B93" w:rsidRPr="006F1EBC">
        <w:rPr>
          <w:rFonts w:ascii="Tahoma" w:hAnsi="Tahoma" w:cs="Tahoma"/>
          <w:color w:val="FF0000"/>
          <w:sz w:val="19"/>
          <w:szCs w:val="19"/>
        </w:rPr>
        <w:t>поставщик может</w:t>
      </w:r>
      <w:r w:rsidR="009D6D88" w:rsidRPr="006F1EBC">
        <w:rPr>
          <w:rFonts w:ascii="Tahoma" w:hAnsi="Tahoma" w:cs="Tahoma"/>
          <w:color w:val="FF0000"/>
          <w:sz w:val="19"/>
          <w:szCs w:val="19"/>
        </w:rPr>
        <w:t xml:space="preserve"> подать только одну конкурсную заявку.</w:t>
      </w:r>
      <w:r w:rsidR="006F1EBC" w:rsidRPr="006F1EBC">
        <w:rPr>
          <w:rFonts w:ascii="Tahoma" w:hAnsi="Tahoma" w:cs="Tahoma"/>
          <w:color w:val="FF0000"/>
          <w:sz w:val="19"/>
          <w:szCs w:val="19"/>
        </w:rPr>
        <w:t xml:space="preserve"> 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 или воспользоваться облачными </w:t>
      </w:r>
      <w:proofErr w:type="spellStart"/>
      <w:r w:rsidR="006F1EBC" w:rsidRPr="006F1EBC">
        <w:rPr>
          <w:rFonts w:ascii="Tahoma" w:hAnsi="Tahoma" w:cs="Tahoma"/>
          <w:color w:val="FF0000"/>
          <w:sz w:val="19"/>
          <w:szCs w:val="19"/>
        </w:rPr>
        <w:t>файлообменниками</w:t>
      </w:r>
      <w:proofErr w:type="spellEnd"/>
      <w:r w:rsidR="006F1EBC" w:rsidRPr="006F1EBC">
        <w:rPr>
          <w:rFonts w:ascii="Tahoma" w:hAnsi="Tahoma" w:cs="Tahoma"/>
          <w:color w:val="FF0000"/>
          <w:sz w:val="19"/>
          <w:szCs w:val="19"/>
        </w:rPr>
        <w:t>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35A4D24C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6F1EBC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2F247F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357F55F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Кенжебаев М. Т.</w:t>
      </w:r>
    </w:p>
    <w:p w14:paraId="01CC6499" w14:textId="79616308" w:rsidR="00E7397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14:paraId="1CAEFACC" w14:textId="77777777" w:rsidR="00350D9A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6"/>
          <w:vertAlign w:val="subscript"/>
        </w:rPr>
      </w:pPr>
      <w:r>
        <w:rPr>
          <w:rFonts w:ascii="Tahoma" w:hAnsi="Tahoma" w:cs="Tahoma"/>
          <w:b/>
          <w:sz w:val="18"/>
          <w:szCs w:val="16"/>
          <w:vertAlign w:val="subscript"/>
        </w:rPr>
        <w:t xml:space="preserve">Исп.: Н. Барктабасов </w:t>
      </w:r>
    </w:p>
    <w:p w14:paraId="2821234B" w14:textId="3C517980" w:rsidR="00E7397A" w:rsidRPr="00E7397A" w:rsidRDefault="00E7397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350D9A">
        <w:rPr>
          <w:rFonts w:ascii="Tahoma" w:hAnsi="Tahoma" w:cs="Tahoma"/>
          <w:b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39B63720" w14:textId="175B506D" w:rsidR="00F85DFC" w:rsidRPr="00E7397A" w:rsidRDefault="00F85DFC" w:rsidP="00D6394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  <w:vertAlign w:val="subscript"/>
        </w:rPr>
        <w:sectPr w:rsidR="00F85DFC" w:rsidRPr="00E7397A" w:rsidSect="002F247F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985"/>
        <w:gridCol w:w="1799"/>
        <w:gridCol w:w="1134"/>
        <w:gridCol w:w="4394"/>
      </w:tblGrid>
      <w:tr w:rsidR="002F247F" w:rsidRPr="00997B7B" w14:paraId="77D954A5" w14:textId="77777777" w:rsidTr="002F247F">
        <w:trPr>
          <w:trHeight w:val="390"/>
        </w:trPr>
        <w:tc>
          <w:tcPr>
            <w:tcW w:w="611" w:type="dxa"/>
            <w:shd w:val="clear" w:color="000000" w:fill="F2F2F2"/>
            <w:noWrap/>
            <w:vAlign w:val="center"/>
            <w:hideMark/>
          </w:tcPr>
          <w:p w14:paraId="6E42CEB3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12" w:type="dxa"/>
            <w:gridSpan w:val="4"/>
            <w:shd w:val="clear" w:color="000000" w:fill="F2F2F2"/>
            <w:vAlign w:val="center"/>
            <w:hideMark/>
          </w:tcPr>
          <w:p w14:paraId="1400A57C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Общие требования</w:t>
            </w:r>
          </w:p>
        </w:tc>
      </w:tr>
      <w:tr w:rsidR="002F247F" w:rsidRPr="00997B7B" w14:paraId="4201BAAC" w14:textId="77777777" w:rsidTr="002F247F">
        <w:trPr>
          <w:trHeight w:val="315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67912C89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47666181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Язык конкурсной заявки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  <w:hideMark/>
          </w:tcPr>
          <w:p w14:paraId="3DB7749F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6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 случае если документ будет составлен на иностранном языке, необходимо предоставить дополнительно перевод на русском языке)</w:t>
            </w:r>
          </w:p>
        </w:tc>
      </w:tr>
      <w:tr w:rsidR="002F247F" w:rsidRPr="00997B7B" w14:paraId="4323F483" w14:textId="77777777" w:rsidTr="002F247F">
        <w:trPr>
          <w:trHeight w:val="315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57633A31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14BC3E3F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конкурсное совещание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  <w:hideMark/>
          </w:tcPr>
          <w:p w14:paraId="14ACC590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предусмотрено </w:t>
            </w:r>
          </w:p>
        </w:tc>
      </w:tr>
      <w:tr w:rsidR="002F247F" w:rsidRPr="00997B7B" w14:paraId="1FD8B366" w14:textId="77777777" w:rsidTr="002F247F">
        <w:trPr>
          <w:trHeight w:val="40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55681F34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1681F106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Дата начала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оказания </w:t>
            </w: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48D20CDC" w14:textId="77777777" w:rsidR="002F247F" w:rsidRDefault="002F247F" w:rsidP="00BB736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момента заключения договора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согласно установленным датам в договоре, ориентировочно с 13 по 15 декабря 2022г.</w:t>
            </w:r>
          </w:p>
          <w:p w14:paraId="37E5DFE3" w14:textId="77777777" w:rsidR="00BB736F" w:rsidRDefault="00BB736F" w:rsidP="00BB736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9FA7436" w14:textId="77777777" w:rsidR="00BB736F" w:rsidRPr="009B5F03" w:rsidRDefault="00BB736F" w:rsidP="00BB736F">
            <w:pPr>
              <w:pStyle w:val="a3"/>
              <w:ind w:left="-57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sz w:val="20"/>
                <w:szCs w:val="20"/>
              </w:rPr>
              <w:t>Первый наблюдательный аудит – декабрь 2023 г.</w:t>
            </w:r>
          </w:p>
          <w:p w14:paraId="5F88D824" w14:textId="4C90157C" w:rsidR="00BB736F" w:rsidRPr="00997B7B" w:rsidRDefault="00BB736F" w:rsidP="00EA66D5">
            <w:pPr>
              <w:pStyle w:val="a3"/>
              <w:ind w:lef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03">
              <w:rPr>
                <w:rFonts w:ascii="Tahoma" w:hAnsi="Tahoma" w:cs="Tahoma"/>
                <w:sz w:val="20"/>
                <w:szCs w:val="20"/>
              </w:rPr>
              <w:t xml:space="preserve">Второй наблюдательный аудит – декабрь 2024 г. </w:t>
            </w:r>
          </w:p>
        </w:tc>
      </w:tr>
      <w:tr w:rsidR="002F247F" w:rsidRPr="00997B7B" w14:paraId="7532A735" w14:textId="77777777" w:rsidTr="002F247F">
        <w:trPr>
          <w:trHeight w:val="33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57670D1F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276F3987" w14:textId="7BE24F1C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Условия и место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оказания услуг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70FEACA8" w14:textId="11D3042B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АО «Альфа Телеком», г</w:t>
            </w: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Бишкек, ул. </w:t>
            </w:r>
            <w:proofErr w:type="spellStart"/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Суюмбаева</w:t>
            </w:r>
            <w:proofErr w:type="spellEnd"/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123</w:t>
            </w:r>
          </w:p>
        </w:tc>
      </w:tr>
      <w:tr w:rsidR="002F247F" w:rsidRPr="00E47E5E" w14:paraId="0DCBB310" w14:textId="77777777" w:rsidTr="002F247F">
        <w:trPr>
          <w:trHeight w:val="1883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334597F6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0FE38E03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Условия платежа</w:t>
            </w: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срок выплаты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  <w:hideMark/>
          </w:tcPr>
          <w:p w14:paraId="27CBD42B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Пост оплата, 100% от стоимости услуг, выплачивается в течение 10 банковских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дней </w:t>
            </w:r>
            <w:r w:rsidRPr="00997B7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 прохождения услуги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ре-сертификационного аудита</w:t>
            </w:r>
            <w:r w:rsidRPr="00997B7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получения счет-фактуры выставленного Исполнителем на основании и датой подписанного обеими сторонами </w:t>
            </w:r>
            <w:r w:rsidRPr="00997B7B">
              <w:rPr>
                <w:rFonts w:ascii="Arial" w:hAnsi="Arial" w:cs="Arial"/>
                <w:color w:val="000000"/>
                <w:sz w:val="20"/>
                <w:szCs w:val="20"/>
              </w:rPr>
              <w:t>Акта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оказанных услуг</w:t>
            </w:r>
            <w:r w:rsidRPr="00997B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974F9C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 xml:space="preserve">Оплата осуществляется: </w:t>
            </w:r>
          </w:p>
          <w:p w14:paraId="34D5F348" w14:textId="77777777" w:rsidR="002F247F" w:rsidRPr="00997B7B" w:rsidRDefault="002F247F" w:rsidP="002F247F">
            <w:pPr>
              <w:numPr>
                <w:ilvl w:val="0"/>
                <w:numId w:val="3"/>
              </w:numPr>
              <w:spacing w:after="0" w:line="240" w:lineRule="auto"/>
              <w:ind w:left="-57" w:right="-5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Исполнителю</w:t>
            </w:r>
            <w:r w:rsidRPr="00E47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47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7B7B">
              <w:rPr>
                <w:rFonts w:ascii="Arial" w:hAnsi="Arial" w:cs="Arial"/>
                <w:b/>
                <w:sz w:val="20"/>
                <w:szCs w:val="20"/>
              </w:rPr>
              <w:t>нерезиденту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КР</w:t>
            </w:r>
            <w:r w:rsidRPr="00997B7B">
              <w:rPr>
                <w:rFonts w:ascii="Arial" w:hAnsi="Arial" w:cs="Arial"/>
                <w:sz w:val="20"/>
                <w:szCs w:val="20"/>
              </w:rPr>
              <w:t xml:space="preserve"> в долларах США;</w:t>
            </w:r>
          </w:p>
          <w:p w14:paraId="0EE2E24F" w14:textId="77777777" w:rsidR="002F247F" w:rsidRPr="00997B7B" w:rsidRDefault="002F247F" w:rsidP="002F247F">
            <w:pPr>
              <w:numPr>
                <w:ilvl w:val="0"/>
                <w:numId w:val="3"/>
              </w:numPr>
              <w:spacing w:after="0" w:line="240" w:lineRule="auto"/>
              <w:ind w:left="-57" w:right="-5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Исполнителю</w:t>
            </w:r>
            <w:r w:rsidRPr="00997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47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7B7B">
              <w:rPr>
                <w:rFonts w:ascii="Arial" w:hAnsi="Arial" w:cs="Arial"/>
                <w:b/>
                <w:sz w:val="20"/>
                <w:szCs w:val="20"/>
              </w:rPr>
              <w:t>резиденту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КР</w:t>
            </w:r>
            <w:r w:rsidRPr="00997B7B">
              <w:rPr>
                <w:rFonts w:ascii="Arial" w:hAnsi="Arial" w:cs="Arial"/>
                <w:sz w:val="20"/>
                <w:szCs w:val="20"/>
              </w:rPr>
              <w:t xml:space="preserve"> в сомах КР: </w:t>
            </w:r>
          </w:p>
          <w:p w14:paraId="31109950" w14:textId="77777777" w:rsidR="002F247F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 xml:space="preserve">Оплата осуществляется путем перечисления денежных средств на расчетный счет </w:t>
            </w:r>
            <w:r>
              <w:rPr>
                <w:rFonts w:ascii="Arial" w:hAnsi="Arial" w:cs="Arial"/>
                <w:sz w:val="20"/>
                <w:szCs w:val="20"/>
              </w:rPr>
              <w:t>Исполнителя</w:t>
            </w:r>
          </w:p>
          <w:p w14:paraId="64D656C5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Примечание: </w:t>
            </w:r>
            <w:r w:rsidRPr="00363676">
              <w:rPr>
                <w:rFonts w:ascii="Arial" w:hAnsi="Arial" w:cs="Arial"/>
                <w:sz w:val="20"/>
                <w:szCs w:val="20"/>
              </w:rPr>
              <w:t>В случае признания победившей конкурсной заявки участника-резидента КР, которая была подана в иностранной валюте, то стоимость договора будет указана в сомах по курсу НБКР на дату вскрытия конкурсных заявок и оплата соответственно будет производиться в сомах</w:t>
            </w:r>
          </w:p>
        </w:tc>
      </w:tr>
      <w:tr w:rsidR="002F247F" w:rsidRPr="00997B7B" w14:paraId="59208F4A" w14:textId="77777777" w:rsidTr="002F247F">
        <w:trPr>
          <w:trHeight w:val="7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5AA12B14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73FE75EE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Цена конкурсной заявки (коммерческое предложение) </w:t>
            </w:r>
          </w:p>
          <w:p w14:paraId="03FF193C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C77CA51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4A99761E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цену, указанную участниками конкурса, должны быть включены:</w:t>
            </w:r>
          </w:p>
          <w:p w14:paraId="7C553DED" w14:textId="77777777" w:rsidR="002F247F" w:rsidRPr="00997B7B" w:rsidRDefault="002F247F" w:rsidP="002F247F">
            <w:pPr>
              <w:pStyle w:val="a3"/>
              <w:numPr>
                <w:ilvl w:val="0"/>
                <w:numId w:val="33"/>
              </w:numPr>
              <w:ind w:left="-57" w:right="-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997B7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все налоги, сборы, и другие платежи, взимаемые в соответствии с законодательством Кыргызской Республики;</w:t>
            </w:r>
          </w:p>
          <w:p w14:paraId="6D35B5EA" w14:textId="77777777" w:rsidR="002F247F" w:rsidRPr="00997B7B" w:rsidRDefault="002F247F" w:rsidP="002F247F">
            <w:pPr>
              <w:pStyle w:val="a3"/>
              <w:numPr>
                <w:ilvl w:val="0"/>
                <w:numId w:val="33"/>
              </w:numPr>
              <w:ind w:left="-57" w:right="-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  <w:r w:rsidRPr="00E47E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97B7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накладные расходы (затраты на перелет и проживание аудиторов органа по сертификации);</w:t>
            </w:r>
          </w:p>
          <w:p w14:paraId="4090C5EC" w14:textId="77777777" w:rsidR="002F247F" w:rsidRPr="00997B7B" w:rsidRDefault="002F247F" w:rsidP="002F247F">
            <w:pPr>
              <w:pStyle w:val="a3"/>
              <w:numPr>
                <w:ilvl w:val="0"/>
                <w:numId w:val="33"/>
              </w:numPr>
              <w:ind w:left="-57" w:right="-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  <w:r w:rsidRPr="00E47E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97B7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стоимость сертификата в оригиналах на трех языках: кыргызский, русский, английский;</w:t>
            </w:r>
          </w:p>
          <w:p w14:paraId="0D05C894" w14:textId="77777777" w:rsidR="002F247F" w:rsidRPr="00997B7B" w:rsidRDefault="002F247F" w:rsidP="002F247F">
            <w:pPr>
              <w:pStyle w:val="a3"/>
              <w:numPr>
                <w:ilvl w:val="0"/>
                <w:numId w:val="33"/>
              </w:numPr>
              <w:ind w:left="-57" w:right="-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  <w:r w:rsidRPr="00E47E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97B7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право на включение в сертификат фирменного логотипа Компании;</w:t>
            </w:r>
          </w:p>
          <w:p w14:paraId="31EC8113" w14:textId="77777777" w:rsidR="002F247F" w:rsidRPr="00997B7B" w:rsidRDefault="002F247F" w:rsidP="002F247F">
            <w:pPr>
              <w:pStyle w:val="a3"/>
              <w:numPr>
                <w:ilvl w:val="0"/>
                <w:numId w:val="33"/>
              </w:numPr>
              <w:ind w:left="-57" w:right="-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47E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997B7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право на включение логотипов и товарных знаков Органа по сертификации (ОС).   </w:t>
            </w:r>
          </w:p>
        </w:tc>
      </w:tr>
      <w:tr w:rsidR="002F247F" w:rsidRPr="00997B7B" w14:paraId="0804F0E1" w14:textId="77777777" w:rsidTr="002F247F">
        <w:trPr>
          <w:trHeight w:val="311"/>
        </w:trPr>
        <w:tc>
          <w:tcPr>
            <w:tcW w:w="611" w:type="dxa"/>
            <w:shd w:val="clear" w:color="auto" w:fill="auto"/>
            <w:noWrap/>
            <w:vAlign w:val="center"/>
          </w:tcPr>
          <w:p w14:paraId="5125FE78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14:paraId="39A033B6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Валюта конкурсной заявки 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1EC9918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b/>
                <w:sz w:val="20"/>
                <w:szCs w:val="20"/>
              </w:rPr>
              <w:t>Для резидентов КР:</w:t>
            </w:r>
            <w:r w:rsidRPr="00997B7B">
              <w:rPr>
                <w:rFonts w:ascii="Arial" w:hAnsi="Arial" w:cs="Arial"/>
                <w:sz w:val="20"/>
                <w:szCs w:val="20"/>
              </w:rPr>
              <w:t xml:space="preserve"> сом КР. </w:t>
            </w:r>
          </w:p>
          <w:p w14:paraId="7CBA0E99" w14:textId="77777777" w:rsidR="002F247F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b/>
                <w:sz w:val="20"/>
                <w:szCs w:val="20"/>
              </w:rPr>
              <w:t xml:space="preserve">Для нерезидентов КР, </w:t>
            </w:r>
            <w:r w:rsidRPr="00997B7B">
              <w:rPr>
                <w:rFonts w:ascii="Arial" w:hAnsi="Arial" w:cs="Arial"/>
                <w:sz w:val="20"/>
                <w:szCs w:val="20"/>
              </w:rPr>
              <w:t xml:space="preserve">доллар США </w:t>
            </w:r>
          </w:p>
          <w:p w14:paraId="08CEFE78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(* Примечание: Оценка будет производиться по курсу Национального банка КР на день вскрытия)</w:t>
            </w:r>
          </w:p>
        </w:tc>
      </w:tr>
      <w:tr w:rsidR="002F247F" w:rsidRPr="00997B7B" w14:paraId="3BC96BFC" w14:textId="77777777" w:rsidTr="002F247F">
        <w:trPr>
          <w:trHeight w:val="311"/>
        </w:trPr>
        <w:tc>
          <w:tcPr>
            <w:tcW w:w="611" w:type="dxa"/>
            <w:shd w:val="clear" w:color="auto" w:fill="auto"/>
            <w:noWrap/>
            <w:vAlign w:val="center"/>
          </w:tcPr>
          <w:p w14:paraId="40998C74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14:paraId="5DAE1821" w14:textId="77777777" w:rsidR="002F247F" w:rsidRPr="00997B7B" w:rsidRDefault="002F247F" w:rsidP="002F247F">
            <w:pPr>
              <w:pStyle w:val="a3"/>
              <w:numPr>
                <w:ilvl w:val="0"/>
                <w:numId w:val="30"/>
              </w:numPr>
              <w:ind w:left="-57" w:right="-5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Для юридических лиц: Предоставить сканированную копию оригинала свидетельства о регистрации/перерегистрации;</w:t>
            </w:r>
          </w:p>
          <w:p w14:paraId="7AE08998" w14:textId="77777777" w:rsidR="002F247F" w:rsidRPr="00997B7B" w:rsidRDefault="002F247F" w:rsidP="002F247F">
            <w:pPr>
              <w:pStyle w:val="a3"/>
              <w:numPr>
                <w:ilvl w:val="0"/>
                <w:numId w:val="30"/>
              </w:numPr>
              <w:ind w:left="-57" w:right="-5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Для Индивидуальных предпринимателей: предоставить копию Свидетельства о регистрации в качестве индивидуального предпринимателя или копию действующего патента (при этом патент должен охватывать минимум период до полной поставки товара и передачи по акту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род деятельности должен совпадать с предметом закупки</w:t>
            </w:r>
            <w:r w:rsidRPr="00997B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</w:tcPr>
          <w:p w14:paraId="130B83BC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2F247F" w:rsidRPr="00997B7B" w14:paraId="0FDECB37" w14:textId="77777777" w:rsidTr="002F247F">
        <w:trPr>
          <w:trHeight w:val="311"/>
        </w:trPr>
        <w:tc>
          <w:tcPr>
            <w:tcW w:w="611" w:type="dxa"/>
            <w:shd w:val="clear" w:color="auto" w:fill="auto"/>
            <w:noWrap/>
            <w:vAlign w:val="center"/>
          </w:tcPr>
          <w:p w14:paraId="39406E3A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14:paraId="77D16C14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 xml:space="preserve">Для юридических лиц: Предоставить сканированную копию оригинала устава </w:t>
            </w: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</w:tcPr>
          <w:p w14:paraId="382C2045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47F" w:rsidRPr="00997B7B" w14:paraId="148D2402" w14:textId="77777777" w:rsidTr="002F247F">
        <w:trPr>
          <w:trHeight w:val="311"/>
        </w:trPr>
        <w:tc>
          <w:tcPr>
            <w:tcW w:w="611" w:type="dxa"/>
            <w:shd w:val="clear" w:color="auto" w:fill="auto"/>
            <w:noWrap/>
            <w:vAlign w:val="center"/>
          </w:tcPr>
          <w:p w14:paraId="7126AFC7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14:paraId="74326B56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Для юридических лиц:  Предоставить сканированную копию оригинала приказа/решение об избрании/назначении исполнительного органа юр.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7B">
              <w:rPr>
                <w:rFonts w:ascii="Arial" w:hAnsi="Arial" w:cs="Arial"/>
                <w:sz w:val="20"/>
                <w:szCs w:val="20"/>
              </w:rPr>
              <w:t xml:space="preserve">лица (1-го лица) </w:t>
            </w: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</w:tcPr>
          <w:p w14:paraId="4D4CC0CC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47F" w:rsidRPr="00997B7B" w14:paraId="358AC7F9" w14:textId="77777777" w:rsidTr="002F247F">
        <w:trPr>
          <w:trHeight w:val="454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05AB28A9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12439D42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Наличие представительства/офиса сертификационного органа в г. Бишкек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6F4B9DA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Приложить подтверждающие документы</w:t>
            </w:r>
          </w:p>
        </w:tc>
      </w:tr>
      <w:tr w:rsidR="002F247F" w:rsidRPr="00997B7B" w14:paraId="24D367F0" w14:textId="77777777" w:rsidTr="002F247F">
        <w:trPr>
          <w:trHeight w:val="495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282664E3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63F9329A" w14:textId="77777777" w:rsidR="002F247F" w:rsidRPr="00363676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6">
              <w:rPr>
                <w:rFonts w:ascii="Arial" w:hAnsi="Arial" w:cs="Arial"/>
                <w:sz w:val="20"/>
                <w:szCs w:val="20"/>
              </w:rPr>
              <w:t>Для юридических лиц – резидентов КР: Финансовая отчетность (бу</w:t>
            </w:r>
            <w:r>
              <w:rPr>
                <w:rFonts w:ascii="Arial" w:hAnsi="Arial" w:cs="Arial"/>
                <w:sz w:val="20"/>
                <w:szCs w:val="20"/>
              </w:rPr>
              <w:t>х. баланс) за последний год</w:t>
            </w:r>
            <w:r w:rsidRPr="0036367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172B7D" w14:textId="364F6B4A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6">
              <w:rPr>
                <w:rFonts w:ascii="Arial" w:hAnsi="Arial" w:cs="Arial"/>
                <w:sz w:val="20"/>
                <w:szCs w:val="20"/>
              </w:rPr>
              <w:t>Для юридических лиц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67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не</w:t>
            </w:r>
            <w:r w:rsidRPr="00363676">
              <w:rPr>
                <w:rFonts w:ascii="Arial" w:hAnsi="Arial" w:cs="Arial"/>
                <w:sz w:val="20"/>
                <w:szCs w:val="20"/>
              </w:rPr>
              <w:t xml:space="preserve">резидентов КР: </w:t>
            </w:r>
            <w:proofErr w:type="spellStart"/>
            <w:r w:rsidRPr="00363676">
              <w:rPr>
                <w:rFonts w:ascii="Arial" w:hAnsi="Arial" w:cs="Arial"/>
                <w:sz w:val="20"/>
                <w:szCs w:val="20"/>
              </w:rPr>
              <w:t>Ауд</w:t>
            </w:r>
            <w:r>
              <w:rPr>
                <w:rFonts w:ascii="Arial" w:hAnsi="Arial" w:cs="Arial"/>
                <w:sz w:val="20"/>
                <w:szCs w:val="20"/>
              </w:rPr>
              <w:t>итированная</w:t>
            </w:r>
            <w:proofErr w:type="spellEnd"/>
            <w:r w:rsidRPr="00363676">
              <w:rPr>
                <w:rFonts w:ascii="Arial" w:hAnsi="Arial" w:cs="Arial"/>
                <w:sz w:val="20"/>
                <w:szCs w:val="20"/>
              </w:rPr>
              <w:t xml:space="preserve"> финансовая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отчетность за последний год</w:t>
            </w:r>
            <w:r w:rsidRPr="003636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15EC49AE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2F247F" w:rsidRPr="00997B7B" w14:paraId="4526137F" w14:textId="77777777" w:rsidTr="002F247F">
        <w:trPr>
          <w:trHeight w:val="495"/>
        </w:trPr>
        <w:tc>
          <w:tcPr>
            <w:tcW w:w="611" w:type="dxa"/>
            <w:shd w:val="clear" w:color="auto" w:fill="auto"/>
            <w:noWrap/>
            <w:vAlign w:val="center"/>
          </w:tcPr>
          <w:p w14:paraId="5D471FDA" w14:textId="77777777" w:rsidR="002F247F" w:rsidRPr="004C2AD7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14:paraId="0C9DDAD8" w14:textId="77777777" w:rsidR="002F247F" w:rsidRPr="00363676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Для резидентов КР: регистр-й документ по НДС, выданны</w:t>
            </w:r>
            <w:r w:rsidRPr="006370C1">
              <w:rPr>
                <w:rFonts w:ascii="Tahoma" w:hAnsi="Tahoma" w:cs="Tahoma"/>
                <w:sz w:val="20"/>
                <w:szCs w:val="20"/>
              </w:rPr>
              <w:t>й налоговым органом КР (если участник является плательщиком НДС-12%).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EE1527C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2F247F" w:rsidRPr="00997B7B" w14:paraId="5FC847E4" w14:textId="77777777" w:rsidTr="002F247F">
        <w:trPr>
          <w:trHeight w:val="525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60C6CEAB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45F366AA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Доверенность на лицо, подписавшее конкурсную заявку и представляющее интересы участника в торгах</w:t>
            </w:r>
            <w:r>
              <w:rPr>
                <w:rFonts w:ascii="Arial" w:hAnsi="Arial" w:cs="Arial"/>
                <w:sz w:val="20"/>
                <w:szCs w:val="20"/>
              </w:rPr>
              <w:t xml:space="preserve"> (если конкурсная заявка подписывается не первым лицом - руководителем)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25B65ADB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>Приложить копии доверенности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7B">
              <w:rPr>
                <w:rFonts w:ascii="Arial" w:hAnsi="Arial" w:cs="Arial"/>
                <w:sz w:val="20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2F247F" w:rsidRPr="00997B7B" w14:paraId="71EB2612" w14:textId="77777777" w:rsidTr="002F247F">
        <w:trPr>
          <w:trHeight w:val="525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217AE8D8" w14:textId="7777777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03437958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4E92D466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997B7B">
              <w:rPr>
                <w:rFonts w:ascii="Arial" w:hAnsi="Arial" w:cs="Arial"/>
                <w:sz w:val="20"/>
                <w:szCs w:val="20"/>
              </w:rPr>
              <w:t>60 календарных дней с даты вскрытия</w:t>
            </w:r>
          </w:p>
        </w:tc>
      </w:tr>
      <w:tr w:rsidR="002F247F" w:rsidRPr="00997B7B" w14:paraId="666C9485" w14:textId="77777777" w:rsidTr="002F247F">
        <w:trPr>
          <w:trHeight w:val="525"/>
        </w:trPr>
        <w:tc>
          <w:tcPr>
            <w:tcW w:w="611" w:type="dxa"/>
            <w:shd w:val="clear" w:color="auto" w:fill="auto"/>
            <w:noWrap/>
            <w:vAlign w:val="center"/>
          </w:tcPr>
          <w:p w14:paraId="768E037F" w14:textId="2AB1720A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14:paraId="41291B98" w14:textId="50A08C38" w:rsidR="002F247F" w:rsidRPr="00997B7B" w:rsidRDefault="008226D8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Гарантийное обеспечение конкурсной заявки 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11464D1" w14:textId="53680996" w:rsidR="002F247F" w:rsidRPr="00997B7B" w:rsidRDefault="008226D8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Не требуется </w:t>
            </w:r>
          </w:p>
        </w:tc>
      </w:tr>
      <w:tr w:rsidR="002F247F" w:rsidRPr="00997B7B" w14:paraId="225C8DED" w14:textId="77777777" w:rsidTr="002F247F">
        <w:trPr>
          <w:trHeight w:val="435"/>
        </w:trPr>
        <w:tc>
          <w:tcPr>
            <w:tcW w:w="611" w:type="dxa"/>
            <w:shd w:val="clear" w:color="auto" w:fill="auto"/>
            <w:noWrap/>
            <w:vAlign w:val="center"/>
          </w:tcPr>
          <w:p w14:paraId="65206949" w14:textId="7470BDD9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27741353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2B163005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7B7B">
              <w:rPr>
                <w:rFonts w:ascii="Arial" w:hAnsi="Arial" w:cs="Arial"/>
                <w:iCs/>
                <w:sz w:val="20"/>
                <w:szCs w:val="20"/>
              </w:rPr>
              <w:t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5% от стоимости договора;</w:t>
            </w:r>
          </w:p>
          <w:p w14:paraId="0D3CF3A1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97B7B">
              <w:rPr>
                <w:rFonts w:ascii="Arial" w:hAnsi="Arial" w:cs="Arial"/>
                <w:b/>
                <w:iCs/>
                <w:sz w:val="20"/>
                <w:szCs w:val="20"/>
              </w:rPr>
              <w:t>Форма внесения ГОИД:</w:t>
            </w:r>
            <w:r w:rsidRPr="00997B7B">
              <w:rPr>
                <w:rFonts w:ascii="Arial" w:hAnsi="Arial" w:cs="Arial"/>
                <w:iCs/>
                <w:sz w:val="20"/>
                <w:szCs w:val="20"/>
              </w:rPr>
              <w:t xml:space="preserve"> в виде перечисления денежных средств на банковский счет Покупателя в течение 5 банковских дней с момента заключения Договора. </w:t>
            </w:r>
          </w:p>
          <w:p w14:paraId="765B29B9" w14:textId="77777777" w:rsidR="002F247F" w:rsidRPr="00113105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hAnsi="Arial" w:cs="Arial"/>
                <w:iCs/>
                <w:sz w:val="20"/>
                <w:szCs w:val="20"/>
              </w:rPr>
              <w:t>Для резидентов КР в сомах, для нерезидентов КР – в долларах США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2F247F" w:rsidRPr="00997B7B" w14:paraId="42B1F16D" w14:textId="77777777" w:rsidTr="002F247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</w:tcPr>
          <w:p w14:paraId="53BD9058" w14:textId="24303455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2A57523E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72FAD8EE" w14:textId="77777777" w:rsidR="002F247F" w:rsidRPr="00997B7B" w:rsidRDefault="002F247F" w:rsidP="008226D8">
            <w:pPr>
              <w:pStyle w:val="a3"/>
              <w:numPr>
                <w:ilvl w:val="0"/>
                <w:numId w:val="31"/>
              </w:numPr>
              <w:spacing w:line="276" w:lineRule="auto"/>
              <w:ind w:left="-57" w:right="-57" w:hanging="284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7B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Стоимость </w:t>
            </w:r>
          </w:p>
          <w:p w14:paraId="1C611C72" w14:textId="77777777" w:rsidR="002F247F" w:rsidRPr="00CB4B2B" w:rsidRDefault="002F247F" w:rsidP="008226D8">
            <w:pPr>
              <w:spacing w:after="0"/>
              <w:ind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97B7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обедившей может быть признана Конкурсная заявка, отвечающая по существу требованиям </w:t>
            </w:r>
            <w:r w:rsidRPr="00997B7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</w:t>
            </w:r>
            <w:r w:rsidRPr="00997B7B">
              <w:rPr>
                <w:rFonts w:ascii="Arial" w:hAnsi="Arial" w:cs="Arial"/>
                <w:color w:val="000000"/>
                <w:sz w:val="20"/>
                <w:szCs w:val="20"/>
              </w:rPr>
              <w:t xml:space="preserve">, которая в переводе на Сом КР по курсу Национального банка Кыргызской Республики на дату вскрытия не будет превышать выделяемую Компанией </w:t>
            </w:r>
            <w:r w:rsidRPr="00CB4B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сумму на данную закупку.  </w:t>
            </w:r>
          </w:p>
          <w:p w14:paraId="548D102A" w14:textId="77777777" w:rsidR="002F247F" w:rsidRPr="00997B7B" w:rsidRDefault="002F247F" w:rsidP="008226D8">
            <w:pPr>
              <w:spacing w:after="0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B2B">
              <w:rPr>
                <w:rFonts w:ascii="Arial" w:hAnsi="Arial" w:cs="Arial"/>
                <w:color w:val="000000"/>
                <w:sz w:val="20"/>
                <w:szCs w:val="20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2F247F" w:rsidRPr="00997B7B" w14:paraId="60856ABB" w14:textId="77777777" w:rsidTr="002F247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</w:tcPr>
          <w:p w14:paraId="3F87B817" w14:textId="68545627" w:rsidR="002F247F" w:rsidRPr="00997B7B" w:rsidRDefault="002F247F" w:rsidP="002F247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14:paraId="54AE2DDC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необходимые документы, которые участники конкурса должны заполнить или предоставить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14:paraId="39223327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Предоставление плана аудита за 10 рабочих дней до начала проведения аудита. Предоставление отчета по аудиту и решения о выдаче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/подтверждении действия</w:t>
            </w:r>
            <w:r w:rsidRPr="00997B7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сертификата не позднее 30 календарных дней с даты окончания аудита.</w:t>
            </w:r>
          </w:p>
          <w:p w14:paraId="70113E06" w14:textId="77777777" w:rsidR="002F247F" w:rsidRPr="00997B7B" w:rsidRDefault="002F247F" w:rsidP="002F24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Предоставление сертификатов не позднее 40 календарных дней с даты окончания аудита. </w:t>
            </w:r>
          </w:p>
        </w:tc>
      </w:tr>
      <w:tr w:rsidR="008226D8" w:rsidRPr="00997B7B" w14:paraId="7A9706DD" w14:textId="77777777" w:rsidTr="002F247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</w:tcPr>
          <w:p w14:paraId="795C8031" w14:textId="0679F5A1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14:paraId="6CAEC618" w14:textId="7B6CBEF9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14:paraId="07F26EF3" w14:textId="15E75769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Приложения №2</w:t>
            </w:r>
          </w:p>
        </w:tc>
      </w:tr>
      <w:tr w:rsidR="008226D8" w:rsidRPr="00997B7B" w14:paraId="57BA3694" w14:textId="77777777" w:rsidTr="008226D8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</w:tcPr>
          <w:p w14:paraId="0EEF3B08" w14:textId="0FD0E4B4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84" w:type="dxa"/>
            <w:gridSpan w:val="2"/>
            <w:shd w:val="clear" w:color="auto" w:fill="auto"/>
            <w:noWrap/>
            <w:vAlign w:val="center"/>
          </w:tcPr>
          <w:p w14:paraId="0AB8675E" w14:textId="671121D9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Условия Договора 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14:paraId="5F62433C" w14:textId="174C5F58" w:rsidR="008226D8" w:rsidRPr="00A44326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A4432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см. Договор (Приложение №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3</w:t>
            </w:r>
            <w:r w:rsidRPr="00A4432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226D8" w:rsidRPr="00997B7B" w14:paraId="549123E2" w14:textId="77777777" w:rsidTr="008226D8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</w:tcPr>
          <w:p w14:paraId="1DCCA72E" w14:textId="5BE27E3E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784" w:type="dxa"/>
            <w:gridSpan w:val="2"/>
            <w:shd w:val="clear" w:color="auto" w:fill="auto"/>
            <w:noWrap/>
            <w:vAlign w:val="center"/>
          </w:tcPr>
          <w:p w14:paraId="4F365A44" w14:textId="67F280D1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B74">
              <w:rPr>
                <w:rFonts w:ascii="Tahoma" w:hAnsi="Tahoma" w:cs="Tahoma"/>
                <w:b/>
                <w:sz w:val="20"/>
                <w:szCs w:val="20"/>
              </w:rPr>
              <w:t xml:space="preserve">Планируемая сумма закупки 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14:paraId="7331B246" w14:textId="60D13A24" w:rsidR="008226D8" w:rsidRPr="00A44326" w:rsidRDefault="008226D8" w:rsidP="00F76B48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1 066 325 сом</w:t>
            </w:r>
          </w:p>
        </w:tc>
      </w:tr>
      <w:tr w:rsidR="008226D8" w:rsidRPr="00997B7B" w14:paraId="06A5397B" w14:textId="77777777" w:rsidTr="002F247F">
        <w:trPr>
          <w:trHeight w:val="300"/>
        </w:trPr>
        <w:tc>
          <w:tcPr>
            <w:tcW w:w="611" w:type="dxa"/>
            <w:shd w:val="clear" w:color="000000" w:fill="F2F2F2"/>
            <w:noWrap/>
            <w:vAlign w:val="center"/>
            <w:hideMark/>
          </w:tcPr>
          <w:p w14:paraId="359C642E" w14:textId="77777777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2" w:type="dxa"/>
            <w:gridSpan w:val="4"/>
            <w:shd w:val="clear" w:color="000000" w:fill="F2F2F2"/>
            <w:vAlign w:val="center"/>
            <w:hideMark/>
          </w:tcPr>
          <w:p w14:paraId="4BBC01FE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Квалификационные требования</w:t>
            </w:r>
          </w:p>
        </w:tc>
      </w:tr>
      <w:tr w:rsidR="008226D8" w:rsidRPr="00997B7B" w14:paraId="7BBFD29A" w14:textId="77777777" w:rsidTr="002F247F">
        <w:trPr>
          <w:trHeight w:val="886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0B9ACCBF" w14:textId="77777777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4CAD838B" w14:textId="7CB7680D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 </w:t>
            </w: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Опыт проведения сертификационных аудитов </w:t>
            </w:r>
          </w:p>
          <w:p w14:paraId="379C4244" w14:textId="77777777" w:rsidR="008226D8" w:rsidRPr="00997B7B" w:rsidRDefault="008226D8" w:rsidP="008226D8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A6EB38" w14:textId="05EE21B4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Количество клиентов/заказчиков сертификации 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  <w:hideMark/>
          </w:tcPr>
          <w:p w14:paraId="1E9A85E2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Опыт проведения сертификационных аудитов от семи лет и более.</w:t>
            </w:r>
          </w:p>
          <w:p w14:paraId="290EEDF8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CC1148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сер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тифицированных предприятий от 5</w:t>
            </w: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и более.</w:t>
            </w:r>
          </w:p>
        </w:tc>
      </w:tr>
      <w:tr w:rsidR="008226D8" w:rsidRPr="00997B7B" w14:paraId="0B2A005F" w14:textId="77777777" w:rsidTr="002F247F">
        <w:trPr>
          <w:trHeight w:val="299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08FF6592" w14:textId="77777777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48E83CD3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Лицензии, разрешения (если требуется)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107239A1" w14:textId="77777777" w:rsidR="008226D8" w:rsidRPr="00997B7B" w:rsidRDefault="008226D8" w:rsidP="008226D8">
            <w:pPr>
              <w:pStyle w:val="a3"/>
              <w:numPr>
                <w:ilvl w:val="0"/>
                <w:numId w:val="34"/>
              </w:numPr>
              <w:ind w:left="-57" w:right="-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B7B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r>
              <w:rPr>
                <w:rFonts w:ascii="Arial" w:hAnsi="Arial" w:cs="Arial"/>
                <w:sz w:val="20"/>
                <w:szCs w:val="20"/>
              </w:rPr>
              <w:t xml:space="preserve">следующих </w:t>
            </w:r>
            <w:r w:rsidRPr="00997B7B">
              <w:rPr>
                <w:rFonts w:ascii="Arial" w:hAnsi="Arial" w:cs="Arial"/>
                <w:sz w:val="20"/>
                <w:szCs w:val="20"/>
              </w:rPr>
              <w:t>аккредитаций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подтвердить соответствующими документами</w:t>
            </w:r>
            <w:r w:rsidRPr="00997B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199A34" w14:textId="77777777" w:rsidR="008226D8" w:rsidRPr="00997B7B" w:rsidRDefault="008226D8" w:rsidP="008226D8">
            <w:pPr>
              <w:pStyle w:val="a3"/>
              <w:numPr>
                <w:ilvl w:val="0"/>
                <w:numId w:val="32"/>
              </w:numPr>
              <w:ind w:left="-57" w:right="-57"/>
              <w:contextualSpacing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97B7B">
              <w:rPr>
                <w:rFonts w:ascii="Arial" w:hAnsi="Arial" w:cs="Arial"/>
                <w:sz w:val="20"/>
                <w:szCs w:val="20"/>
              </w:rPr>
              <w:t>Аккредитация ОС соответствует ISO/IEC 17021-1:2015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(предоставить копию аккредитации)</w:t>
            </w:r>
            <w:r w:rsidRPr="00997B7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3D5FA9" w14:textId="77777777" w:rsidR="008226D8" w:rsidRPr="00997B7B" w:rsidRDefault="008226D8" w:rsidP="008226D8">
            <w:pPr>
              <w:pStyle w:val="a3"/>
              <w:numPr>
                <w:ilvl w:val="0"/>
                <w:numId w:val="32"/>
              </w:numPr>
              <w:ind w:left="-57" w:right="-57"/>
              <w:contextualSpacing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От мировых ведущих органов по аккредитации: TUV, BSI, BV, SGS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 w:eastAsia="en-US"/>
              </w:rPr>
              <w:t>SNAS</w:t>
            </w:r>
            <w:r w:rsidRPr="00997B7B">
              <w:rPr>
                <w:rFonts w:ascii="Arial" w:hAnsi="Arial" w:cs="Arial"/>
                <w:sz w:val="20"/>
                <w:szCs w:val="20"/>
              </w:rPr>
              <w:t xml:space="preserve"> (предоставить с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видетельство об аккредитации от одного из этих органов, которые являются членом в 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val="en-US" w:eastAsia="en-US"/>
              </w:rPr>
              <w:t>IAF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(Междун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ародный форум по аккредитации)).</w:t>
            </w:r>
          </w:p>
          <w:p w14:paraId="6B8B94A8" w14:textId="77777777" w:rsidR="008226D8" w:rsidRPr="00997B7B" w:rsidRDefault="008226D8" w:rsidP="008226D8">
            <w:pPr>
              <w:pStyle w:val="a3"/>
              <w:numPr>
                <w:ilvl w:val="0"/>
                <w:numId w:val="34"/>
              </w:numPr>
              <w:ind w:left="-57" w:right="-57"/>
              <w:contextualSpacing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Наличие соглашения с международно-признанным органом по сертификации с правом организации работ по сертификации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(предоставить копию соглашения)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.</w:t>
            </w:r>
          </w:p>
          <w:p w14:paraId="64D2EF0F" w14:textId="77777777" w:rsidR="008226D8" w:rsidRPr="00997B7B" w:rsidRDefault="008226D8" w:rsidP="008226D8">
            <w:pPr>
              <w:pStyle w:val="a3"/>
              <w:numPr>
                <w:ilvl w:val="0"/>
                <w:numId w:val="34"/>
              </w:numPr>
              <w:ind w:left="-57" w:right="-57"/>
              <w:contextualSpacing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4. 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Наличие лицензии, выданной Министерством образования и науки КР на право проведения образовательной деятельности по вопросам 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val="en-US" w:eastAsia="en-US"/>
              </w:rPr>
              <w:t>ISO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(предоставить копию лицензии).</w:t>
            </w:r>
          </w:p>
        </w:tc>
      </w:tr>
      <w:tr w:rsidR="008226D8" w:rsidRPr="00997B7B" w14:paraId="2A417401" w14:textId="77777777" w:rsidTr="002F247F">
        <w:trPr>
          <w:trHeight w:val="3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655D01E5" w14:textId="77777777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3C1E8FAC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Авторизация (если требуется)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7B7A9F62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Приложить </w:t>
            </w:r>
            <w:proofErr w:type="spellStart"/>
            <w:r w:rsidRPr="00997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авторизационное</w:t>
            </w:r>
            <w:proofErr w:type="spellEnd"/>
            <w:r w:rsidRPr="00997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письмо/документ о разрешении проводить сертификационные аудиты от органа по аккредитации</w:t>
            </w:r>
          </w:p>
        </w:tc>
      </w:tr>
      <w:tr w:rsidR="008226D8" w:rsidRPr="00997B7B" w14:paraId="54D71B6D" w14:textId="77777777" w:rsidTr="008226D8">
        <w:trPr>
          <w:trHeight w:val="2915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2C0C1884" w14:textId="77777777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  <w:hideMark/>
          </w:tcPr>
          <w:p w14:paraId="671544BC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Сертификация работников 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14:paraId="35FAD6C2" w14:textId="77777777" w:rsidR="008226D8" w:rsidRPr="00997B7B" w:rsidRDefault="008226D8" w:rsidP="008226D8">
            <w:pPr>
              <w:pStyle w:val="a3"/>
              <w:numPr>
                <w:ilvl w:val="0"/>
                <w:numId w:val="35"/>
              </w:numPr>
              <w:ind w:left="-57" w:right="-57"/>
              <w:contextualSpacing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Предложение должно включать использование не менее одного русскоязычного аудитора, зарегистрированного в 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val="en-US" w:eastAsia="en-US"/>
              </w:rPr>
              <w:t>IRCA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в качестве ведущего или главного аудитора, для проведения аудита.</w:t>
            </w:r>
          </w:p>
          <w:p w14:paraId="730DB0FB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Приложить копии действующих сертификатов по </w:t>
            </w:r>
            <w:r w:rsidRPr="00997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ISO</w:t>
            </w:r>
            <w:r w:rsidRPr="00997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9001:2015 (</w:t>
            </w:r>
            <w:r w:rsidRPr="00997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IRCA</w:t>
            </w:r>
            <w:r w:rsidRPr="00997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).</w:t>
            </w:r>
          </w:p>
          <w:p w14:paraId="6F4B8B96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4036E3D1" w14:textId="77777777" w:rsidR="008226D8" w:rsidRPr="00997B7B" w:rsidRDefault="008226D8" w:rsidP="008226D8">
            <w:pPr>
              <w:pStyle w:val="a3"/>
              <w:numPr>
                <w:ilvl w:val="0"/>
                <w:numId w:val="35"/>
              </w:numPr>
              <w:ind w:left="-57" w:right="-57"/>
              <w:contextualSpacing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Участие предложенных аудиторов в предложенной деятельности, освещающей вопросы применения международных стандартов, в том числе международного стандарта 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val="en-US" w:eastAsia="en-US"/>
              </w:rPr>
              <w:t>ISO</w:t>
            </w:r>
            <w:r w:rsidRPr="00997B7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9001:2015. </w:t>
            </w:r>
          </w:p>
          <w:p w14:paraId="14CE992D" w14:textId="77777777" w:rsidR="008226D8" w:rsidRPr="001426F2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Приложить подтверждающие документы.</w:t>
            </w:r>
          </w:p>
        </w:tc>
      </w:tr>
      <w:tr w:rsidR="008226D8" w:rsidRPr="00997B7B" w14:paraId="0A985D7C" w14:textId="77777777" w:rsidTr="002F247F">
        <w:trPr>
          <w:trHeight w:val="70"/>
        </w:trPr>
        <w:tc>
          <w:tcPr>
            <w:tcW w:w="611" w:type="dxa"/>
            <w:shd w:val="clear" w:color="auto" w:fill="auto"/>
            <w:noWrap/>
            <w:vAlign w:val="center"/>
          </w:tcPr>
          <w:p w14:paraId="5B441AC2" w14:textId="77777777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2" w:type="dxa"/>
            <w:gridSpan w:val="4"/>
            <w:shd w:val="clear" w:color="auto" w:fill="auto"/>
            <w:vAlign w:val="center"/>
          </w:tcPr>
          <w:p w14:paraId="5EC36F79" w14:textId="77777777" w:rsidR="008226D8" w:rsidRPr="00997B7B" w:rsidRDefault="008226D8" w:rsidP="008226D8">
            <w:pPr>
              <w:pStyle w:val="a3"/>
              <w:numPr>
                <w:ilvl w:val="0"/>
                <w:numId w:val="35"/>
              </w:numPr>
              <w:ind w:left="-57" w:right="-57"/>
              <w:contextualSpacing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397FDE">
              <w:rPr>
                <w:rFonts w:ascii="Tahoma" w:hAnsi="Tahoma" w:cs="Tahoma"/>
                <w:bCs/>
                <w:i/>
                <w:iCs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  <w:tr w:rsidR="008226D8" w:rsidRPr="00997B7B" w14:paraId="11478D54" w14:textId="77777777" w:rsidTr="002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472070" w14:textId="77777777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4199D" w14:textId="77777777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Существенные требования/ Технические спецификации</w:t>
            </w:r>
          </w:p>
        </w:tc>
      </w:tr>
      <w:tr w:rsidR="008226D8" w:rsidRPr="00997B7B" w14:paraId="0D67C4BE" w14:textId="77777777" w:rsidTr="002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59B92" w14:textId="77777777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DF187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9872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Подробное описание услуг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00888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Срок </w:t>
            </w: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оказания услуг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2F4F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бъем</w:t>
            </w:r>
          </w:p>
        </w:tc>
      </w:tr>
      <w:tr w:rsidR="008226D8" w:rsidRPr="00997B7B" w14:paraId="3BE194E7" w14:textId="77777777" w:rsidTr="002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54BC" w14:textId="77777777" w:rsidR="008226D8" w:rsidRPr="00997B7B" w:rsidRDefault="008226D8" w:rsidP="008226D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9479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ре-сертификационного аудита </w:t>
            </w: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 </w:t>
            </w: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ISO</w:t>
            </w: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9001:2015.</w:t>
            </w:r>
          </w:p>
          <w:p w14:paraId="017AE08B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Область сертификации: «Оказание услуг в области электросвязи и передачи данных».</w:t>
            </w:r>
          </w:p>
          <w:p w14:paraId="6204EE44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244" w14:textId="77777777" w:rsidR="008226D8" w:rsidRDefault="008226D8" w:rsidP="008226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7070F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Проведение аудитов в подразделениях 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К</w:t>
            </w:r>
            <w:r w:rsidRPr="0067070F">
              <w:rPr>
                <w:rFonts w:ascii="Tahoma" w:eastAsia="Times New Roman" w:hAnsi="Tahoma" w:cs="Tahoma"/>
                <w:b/>
                <w:bCs/>
                <w:color w:val="000000"/>
              </w:rPr>
              <w:t>омпании</w:t>
            </w:r>
          </w:p>
          <w:p w14:paraId="09D34EA9" w14:textId="77777777" w:rsidR="008226D8" w:rsidRPr="00AA08DE" w:rsidRDefault="008226D8" w:rsidP="008226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08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Цель:</w:t>
            </w:r>
          </w:p>
          <w:p w14:paraId="0A7D68DD" w14:textId="77777777" w:rsidR="008226D8" w:rsidRPr="00AA08DE" w:rsidRDefault="008226D8" w:rsidP="008226D8">
            <w:pPr>
              <w:pStyle w:val="a3"/>
              <w:numPr>
                <w:ilvl w:val="0"/>
                <w:numId w:val="36"/>
              </w:numPr>
              <w:ind w:left="270" w:hanging="224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AA08D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проверить и подтвердить соответствие действующей СМК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требованиям</w:t>
            </w:r>
            <w:r w:rsidRPr="00AA08D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стандарта ISO 9001:2015, внутренних </w:t>
            </w:r>
            <w:r w:rsidRPr="00AA08D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документов Компании и т.п.; </w:t>
            </w:r>
          </w:p>
          <w:p w14:paraId="082C93FF" w14:textId="77777777" w:rsidR="008226D8" w:rsidRPr="00AA08DE" w:rsidRDefault="008226D8" w:rsidP="008226D8">
            <w:pPr>
              <w:spacing w:after="0" w:line="240" w:lineRule="auto"/>
              <w:ind w:left="352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0AAD6467" w14:textId="67E02206" w:rsidR="008226D8" w:rsidRPr="00997B7B" w:rsidRDefault="008226D8" w:rsidP="008226D8">
            <w:pPr>
              <w:pStyle w:val="a3"/>
              <w:numPr>
                <w:ilvl w:val="0"/>
                <w:numId w:val="36"/>
              </w:numPr>
              <w:ind w:left="270" w:hanging="224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8D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продление действия сертификата соответствия системы менеджмента требованиям стандарта ISO 9001:2015.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11B5" w14:textId="77777777" w:rsidR="008226D8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Ре- сертификационный аудит с 13 по 15 декабря 2022г.</w:t>
            </w:r>
          </w:p>
          <w:p w14:paraId="5EA84806" w14:textId="77777777" w:rsidR="00EA66D5" w:rsidRDefault="00EA66D5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1A49D6C" w14:textId="77777777" w:rsidR="00EA66D5" w:rsidRPr="009B5F03" w:rsidRDefault="00EA66D5" w:rsidP="00EA66D5">
            <w:pPr>
              <w:pStyle w:val="a3"/>
              <w:ind w:left="-57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sz w:val="20"/>
                <w:szCs w:val="20"/>
              </w:rPr>
              <w:t>Первый наблюдательный аудит – декабрь 2023 г.</w:t>
            </w:r>
          </w:p>
          <w:p w14:paraId="38F174CC" w14:textId="2337D95B" w:rsidR="00EA66D5" w:rsidRPr="00997B7B" w:rsidRDefault="00EA66D5" w:rsidP="00EA66D5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F03">
              <w:rPr>
                <w:rFonts w:ascii="Tahoma" w:hAnsi="Tahoma" w:cs="Tahoma"/>
                <w:sz w:val="20"/>
                <w:szCs w:val="20"/>
              </w:rPr>
              <w:t>Второй наблюдате</w:t>
            </w:r>
            <w:r w:rsidRPr="009B5F03">
              <w:rPr>
                <w:rFonts w:ascii="Tahoma" w:hAnsi="Tahoma" w:cs="Tahoma"/>
                <w:sz w:val="20"/>
                <w:szCs w:val="20"/>
              </w:rPr>
              <w:lastRenderedPageBreak/>
              <w:t>льный аудит – декабрь 2024 г.</w:t>
            </w:r>
            <w:bookmarkStart w:id="1" w:name="_GoBack"/>
            <w:bookmarkEnd w:id="1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847D" w14:textId="77777777" w:rsidR="008226D8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Компания ЗАО «Альфа Телеком» предоставляет услуги сотовой связи в стандартах GSM (2G) в диапазонах частот 900 и 1800 МГц, WCDMA/UMTS (3G) в диапазонах частот 2100 и 900 МГц и LTE (4G) в диапазонах частот 800, 1800 и 2100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и 2300</w:t>
            </w:r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МГц. </w:t>
            </w:r>
          </w:p>
          <w:p w14:paraId="6E5962BC" w14:textId="77777777" w:rsidR="008226D8" w:rsidRPr="00E47E5E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Сертифицирована международным органом по сертификации </w:t>
            </w:r>
            <w:r w:rsidRPr="001D4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TÜV </w:t>
            </w:r>
            <w:proofErr w:type="spellStart"/>
            <w:r w:rsidRPr="001D4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Thüringen</w:t>
            </w:r>
            <w:proofErr w:type="spellEnd"/>
            <w:r w:rsidRPr="001D4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e.V</w:t>
            </w:r>
            <w:proofErr w:type="spellEnd"/>
            <w:r w:rsidRPr="001D4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в 2019 г.</w:t>
            </w:r>
          </w:p>
          <w:p w14:paraId="762DB064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05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Регистрационный номер сертификата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Pr="000105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TIC</w:t>
            </w:r>
            <w:r w:rsidRPr="00E47E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15 1910725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сотрудников компании </w:t>
            </w:r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свыше 1000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до 1200 </w:t>
            </w:r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человек.</w:t>
            </w:r>
          </w:p>
          <w:p w14:paraId="51D4F452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Процессная модель состоит из следующих групп процессов:</w:t>
            </w:r>
          </w:p>
          <w:p w14:paraId="71ADE1B3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 xml:space="preserve">процесс управления, операционные процессы, вспомогательный процесс. Процессов, переданных на </w:t>
            </w:r>
            <w:proofErr w:type="spellStart"/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аутсорс</w:t>
            </w:r>
            <w:proofErr w:type="spellEnd"/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нет.</w:t>
            </w:r>
          </w:p>
          <w:p w14:paraId="36B89028" w14:textId="77777777" w:rsidR="008226D8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Преимущественно используемое сырьё/продукция/материалы: частоты, оборудование для базовых станций и ВОЛС, электроэнергия, программные обеспечения, здания, SIM-карты, </w:t>
            </w:r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997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CRATCH-карты и т.д.</w:t>
            </w:r>
          </w:p>
          <w:p w14:paraId="617F1962" w14:textId="77777777" w:rsidR="008226D8" w:rsidRPr="00AA08DE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08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Головной офис Компании расположен по адресу </w:t>
            </w:r>
            <w:proofErr w:type="spellStart"/>
            <w:r w:rsidRPr="00AA08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Суюмбаева</w:t>
            </w:r>
            <w:proofErr w:type="spellEnd"/>
            <w:r w:rsidRPr="00AA08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123, также имеются представительства во всех семи областях КР.</w:t>
            </w:r>
          </w:p>
          <w:p w14:paraId="63FDB00C" w14:textId="77777777" w:rsidR="008226D8" w:rsidRPr="00AA08DE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08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Со стороны компании будет выделен ответственный сотрудник за организацию аудита.</w:t>
            </w:r>
          </w:p>
          <w:p w14:paraId="1657A855" w14:textId="77777777" w:rsidR="008226D8" w:rsidRPr="00997B7B" w:rsidRDefault="008226D8" w:rsidP="008226D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08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В Компании имеются </w:t>
            </w:r>
            <w:r w:rsidRPr="00B472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2-4</w:t>
            </w:r>
            <w:r w:rsidRPr="00AA08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смены для работников, работающих по сменному графику.</w:t>
            </w:r>
          </w:p>
        </w:tc>
      </w:tr>
    </w:tbl>
    <w:p w14:paraId="581A3B75" w14:textId="77777777" w:rsidR="002F247F" w:rsidRDefault="002F247F" w:rsidP="002F247F"/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CB6616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 зачисления К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(Банк-посредник)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Sberbank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CB6616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 получателя)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Sberbank: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CB6616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(Назначение платежа)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по  конкурсу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2F247F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941"/>
              <w:gridCol w:w="1450"/>
            </w:tblGrid>
            <w:tr w:rsidR="007E2F6E" w:rsidRPr="0056114A" w14:paraId="6004107D" w14:textId="77777777" w:rsidTr="00BE6CA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без 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76768D">
                    <w:rPr>
                      <w:rFonts w:ascii="Tahoma" w:hAnsi="Tahoma" w:cs="Tahoma"/>
                      <w:b/>
                      <w:spacing w:val="-3"/>
                      <w:sz w:val="20"/>
                      <w:szCs w:val="14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</w:tr>
            <w:tr w:rsidR="007E2F6E" w:rsidRPr="00C84D22" w14:paraId="1ABDAE1D" w14:textId="77777777" w:rsidTr="00BE6CAE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CD5A4F3" w14:textId="77777777" w:rsidTr="00BE6CAE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56E77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B726B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14CA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5EAED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342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089762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802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8123F75" w14:textId="77777777" w:rsidTr="00BE6CAE">
              <w:trPr>
                <w:trHeight w:val="300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5C203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0CEB9" w14:textId="77777777" w:rsidR="007E2F6E" w:rsidRPr="006F2B45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75CC2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E583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C0D3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447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AECFB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6D082F5D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выполнения работ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4D92151B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129090EC" w14:textId="77777777" w:rsidR="0073427C" w:rsidRPr="009B5F03" w:rsidRDefault="0073427C" w:rsidP="00650BE2">
      <w:pPr>
        <w:pStyle w:val="ab"/>
        <w:spacing w:line="276" w:lineRule="auto"/>
        <w:ind w:left="-426" w:firstLine="426"/>
        <w:rPr>
          <w:rFonts w:ascii="Tahoma" w:hAnsi="Tahoma" w:cs="Tahoma"/>
          <w:b/>
          <w:sz w:val="22"/>
          <w:szCs w:val="22"/>
        </w:rPr>
      </w:pPr>
      <w:r w:rsidRPr="009B5F03">
        <w:rPr>
          <w:rFonts w:ascii="Tahoma" w:hAnsi="Tahoma" w:cs="Tahoma"/>
          <w:b/>
          <w:sz w:val="22"/>
          <w:szCs w:val="22"/>
        </w:rPr>
        <w:t xml:space="preserve">Д О Г О В О Р   № </w:t>
      </w:r>
    </w:p>
    <w:p w14:paraId="4F146D20" w14:textId="77777777" w:rsidR="0073427C" w:rsidRPr="009B5F03" w:rsidRDefault="0073427C" w:rsidP="0073427C">
      <w:pPr>
        <w:spacing w:after="60"/>
        <w:ind w:left="-426" w:firstLine="426"/>
        <w:jc w:val="center"/>
        <w:rPr>
          <w:rFonts w:ascii="Tahoma" w:hAnsi="Tahoma" w:cs="Tahoma"/>
          <w:b/>
        </w:rPr>
      </w:pPr>
      <w:r w:rsidRPr="009B5F03">
        <w:rPr>
          <w:rFonts w:ascii="Tahoma" w:hAnsi="Tahoma" w:cs="Tahoma"/>
          <w:b/>
        </w:rPr>
        <w:t>на оказание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38"/>
      </w:tblGrid>
      <w:tr w:rsidR="0073427C" w:rsidRPr="009B5F03" w14:paraId="016D21E6" w14:textId="77777777" w:rsidTr="00FA6C87">
        <w:tc>
          <w:tcPr>
            <w:tcW w:w="4916" w:type="dxa"/>
          </w:tcPr>
          <w:p w14:paraId="5DAB31BA" w14:textId="77777777" w:rsidR="0073427C" w:rsidRPr="009B5F03" w:rsidRDefault="0073427C" w:rsidP="00FA6C87">
            <w:pPr>
              <w:spacing w:after="60"/>
              <w:rPr>
                <w:rFonts w:ascii="Tahoma" w:hAnsi="Tahoma" w:cs="Tahoma"/>
                <w:b/>
              </w:rPr>
            </w:pPr>
            <w:r w:rsidRPr="009B5F03">
              <w:rPr>
                <w:rFonts w:ascii="Tahoma" w:hAnsi="Tahoma" w:cs="Tahoma"/>
              </w:rPr>
              <w:t>г. Бишкек</w:t>
            </w:r>
          </w:p>
        </w:tc>
        <w:tc>
          <w:tcPr>
            <w:tcW w:w="4938" w:type="dxa"/>
          </w:tcPr>
          <w:p w14:paraId="0B9F82E4" w14:textId="77777777" w:rsidR="0073427C" w:rsidRPr="009B5F03" w:rsidRDefault="0073427C" w:rsidP="00FA6C87">
            <w:pPr>
              <w:spacing w:after="60"/>
              <w:jc w:val="right"/>
              <w:rPr>
                <w:rFonts w:ascii="Tahoma" w:hAnsi="Tahoma" w:cs="Tahoma"/>
                <w:b/>
              </w:rPr>
            </w:pPr>
            <w:r w:rsidRPr="009B5F03">
              <w:rPr>
                <w:rFonts w:ascii="Tahoma" w:hAnsi="Tahoma" w:cs="Tahoma"/>
              </w:rPr>
              <w:t>«____» _______________ 20__ года</w:t>
            </w:r>
          </w:p>
        </w:tc>
      </w:tr>
    </w:tbl>
    <w:p w14:paraId="52BA2974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_________________в лице Генерального директора_________, действующего на основании Устава далее именуемый - ОРГАНИЗАТОР, с одной стороны, и ЗАО «Альфа Телеком» в лице Генерального Директора </w:t>
      </w:r>
      <w:proofErr w:type="spellStart"/>
      <w:r w:rsidRPr="009B5F03">
        <w:rPr>
          <w:rFonts w:ascii="Tahoma" w:hAnsi="Tahoma" w:cs="Tahoma"/>
          <w:sz w:val="20"/>
          <w:szCs w:val="20"/>
        </w:rPr>
        <w:t>Мамытова</w:t>
      </w:r>
      <w:proofErr w:type="spellEnd"/>
      <w:r w:rsidRPr="009B5F03">
        <w:rPr>
          <w:rFonts w:ascii="Tahoma" w:hAnsi="Tahoma" w:cs="Tahoma"/>
          <w:sz w:val="20"/>
          <w:szCs w:val="20"/>
        </w:rPr>
        <w:t xml:space="preserve"> Н.Т., действующего на основании Устава, далее именуемый - ЗАКАЗЧИК, с другой стороны, именуемые в дальнейшем вместе и/или по отдельности «СТОРОНЫ», заключили настоящий договор (в дальнейшем «ДОГОВОР») о нижеследующем:</w:t>
      </w:r>
    </w:p>
    <w:p w14:paraId="4AD52A1F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14:paraId="6EBDCA8A" w14:textId="77777777" w:rsidR="0073427C" w:rsidRPr="009B5F03" w:rsidRDefault="0073427C" w:rsidP="0073427C">
      <w:pPr>
        <w:spacing w:after="0" w:line="240" w:lineRule="auto"/>
        <w:ind w:right="28" w:firstLine="426"/>
        <w:jc w:val="center"/>
        <w:rPr>
          <w:rFonts w:ascii="Tahoma" w:hAnsi="Tahoma" w:cs="Tahoma"/>
          <w:b/>
          <w:sz w:val="20"/>
          <w:szCs w:val="20"/>
        </w:rPr>
      </w:pPr>
      <w:r w:rsidRPr="009B5F03">
        <w:rPr>
          <w:rFonts w:ascii="Tahoma" w:hAnsi="Tahoma" w:cs="Tahoma"/>
          <w:b/>
          <w:sz w:val="20"/>
          <w:szCs w:val="20"/>
        </w:rPr>
        <w:t>1. ПРЕДМЕТ ДОГОВОРА</w:t>
      </w:r>
    </w:p>
    <w:p w14:paraId="021003D4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1.1. ЗАКАЗЧИК поручает, а ОРГАНИЗАТОР принимает на себя обязанность оказать услуги по проведению оценки и анализа Системы Менеджмента Качества – этап «</w:t>
      </w:r>
      <w:proofErr w:type="spellStart"/>
      <w:r w:rsidRPr="009B5F03">
        <w:rPr>
          <w:rFonts w:ascii="Tahoma" w:hAnsi="Tahoma" w:cs="Tahoma"/>
          <w:sz w:val="20"/>
          <w:szCs w:val="20"/>
        </w:rPr>
        <w:t>Ресертификационный</w:t>
      </w:r>
      <w:proofErr w:type="spellEnd"/>
      <w:r w:rsidRPr="009B5F03">
        <w:rPr>
          <w:rFonts w:ascii="Tahoma" w:hAnsi="Tahoma" w:cs="Tahoma"/>
          <w:sz w:val="20"/>
          <w:szCs w:val="20"/>
        </w:rPr>
        <w:t xml:space="preserve"> аудит», этап «Первый наблюдательный аудит» и «Второй наблюдательный аудит» (далее «УСЛУГИ»), в объеме и на условиях, предусмотренных ДОГОВОРОМ.</w:t>
      </w:r>
    </w:p>
    <w:p w14:paraId="3B6F7A83" w14:textId="77777777" w:rsidR="0073427C" w:rsidRPr="009B5F03" w:rsidRDefault="0073427C" w:rsidP="0073427C">
      <w:pPr>
        <w:spacing w:before="120" w:after="120"/>
        <w:ind w:firstLine="426"/>
        <w:jc w:val="both"/>
        <w:rPr>
          <w:rFonts w:ascii="Tahoma" w:hAnsi="Tahoma" w:cs="Tahoma"/>
        </w:rPr>
      </w:pPr>
      <w:r w:rsidRPr="009B5F03">
        <w:rPr>
          <w:rFonts w:ascii="Tahoma" w:hAnsi="Tahoma" w:cs="Tahoma"/>
          <w:sz w:val="20"/>
          <w:szCs w:val="20"/>
        </w:rPr>
        <w:t xml:space="preserve">      1.2</w:t>
      </w:r>
      <w:r w:rsidRPr="009B5F03">
        <w:rPr>
          <w:rFonts w:ascii="Tahoma" w:hAnsi="Tahoma" w:cs="Tahoma"/>
        </w:rPr>
        <w:t xml:space="preserve"> </w:t>
      </w:r>
      <w:r w:rsidRPr="009B5F03">
        <w:rPr>
          <w:rFonts w:ascii="Tahoma" w:hAnsi="Tahoma" w:cs="Tahoma"/>
          <w:sz w:val="20"/>
          <w:szCs w:val="20"/>
        </w:rPr>
        <w:t>В УСЛУГИ входит организация проведения (аудитов) анализа Системы Менеджмента Качества ЗАКАЗЧИКА на соответствие Международному Стандарту ISO 9001:2015.</w:t>
      </w:r>
    </w:p>
    <w:p w14:paraId="3EBBCAA9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1.3. УСЛУГИ оказываются в офисе ЗАКАЗЧИКА, расположенном по адресу: Кыргызская Республика, г. Бишкек, ул. </w:t>
      </w:r>
      <w:proofErr w:type="spellStart"/>
      <w:r w:rsidRPr="009B5F03">
        <w:rPr>
          <w:rFonts w:ascii="Tahoma" w:hAnsi="Tahoma" w:cs="Tahoma"/>
          <w:sz w:val="20"/>
          <w:szCs w:val="20"/>
        </w:rPr>
        <w:t>Суюмбаева</w:t>
      </w:r>
      <w:proofErr w:type="spellEnd"/>
      <w:r w:rsidRPr="009B5F03">
        <w:rPr>
          <w:rFonts w:ascii="Tahoma" w:hAnsi="Tahoma" w:cs="Tahoma"/>
          <w:sz w:val="20"/>
          <w:szCs w:val="20"/>
        </w:rPr>
        <w:t>, 123.</w:t>
      </w:r>
    </w:p>
    <w:p w14:paraId="455A826C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1.4. Срок оказания услуг: </w:t>
      </w:r>
    </w:p>
    <w:p w14:paraId="3C4A3896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ab/>
      </w:r>
      <w:proofErr w:type="spellStart"/>
      <w:r w:rsidRPr="009B5F03">
        <w:rPr>
          <w:rFonts w:ascii="Tahoma" w:hAnsi="Tahoma" w:cs="Tahoma"/>
          <w:sz w:val="20"/>
          <w:szCs w:val="20"/>
        </w:rPr>
        <w:t>Ресертификационный</w:t>
      </w:r>
      <w:proofErr w:type="spellEnd"/>
      <w:r w:rsidRPr="009B5F03">
        <w:rPr>
          <w:rFonts w:ascii="Tahoma" w:hAnsi="Tahoma" w:cs="Tahoma"/>
          <w:sz w:val="20"/>
          <w:szCs w:val="20"/>
        </w:rPr>
        <w:t xml:space="preserve"> аудит – декабрь 2022 г.</w:t>
      </w:r>
    </w:p>
    <w:p w14:paraId="066993AF" w14:textId="77777777" w:rsidR="0073427C" w:rsidRPr="009B5F03" w:rsidRDefault="0073427C" w:rsidP="0073427C">
      <w:pPr>
        <w:pStyle w:val="a3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Первый наблюдательный аудит – декабрь 2023 г.</w:t>
      </w:r>
    </w:p>
    <w:p w14:paraId="1B53551A" w14:textId="77777777" w:rsidR="0073427C" w:rsidRPr="009B5F03" w:rsidRDefault="0073427C" w:rsidP="0073427C">
      <w:pPr>
        <w:pStyle w:val="a3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Второй наблюдательный аудит – декабрь 2024 г. </w:t>
      </w:r>
    </w:p>
    <w:p w14:paraId="66F48695" w14:textId="77777777" w:rsidR="0073427C" w:rsidRPr="009B5F03" w:rsidRDefault="0073427C" w:rsidP="0073427C">
      <w:pPr>
        <w:pStyle w:val="a3"/>
      </w:pPr>
    </w:p>
    <w:p w14:paraId="4DDBEE8D" w14:textId="77777777" w:rsidR="0073427C" w:rsidRPr="009B5F03" w:rsidRDefault="0073427C" w:rsidP="0073427C">
      <w:pPr>
        <w:spacing w:after="0" w:line="240" w:lineRule="auto"/>
        <w:ind w:right="28" w:firstLine="426"/>
        <w:jc w:val="center"/>
        <w:rPr>
          <w:rFonts w:ascii="Tahoma" w:hAnsi="Tahoma" w:cs="Tahoma"/>
          <w:b/>
          <w:sz w:val="20"/>
          <w:szCs w:val="20"/>
        </w:rPr>
      </w:pPr>
      <w:r w:rsidRPr="009B5F03">
        <w:rPr>
          <w:rFonts w:ascii="Tahoma" w:hAnsi="Tahoma" w:cs="Tahoma"/>
          <w:b/>
          <w:sz w:val="20"/>
          <w:szCs w:val="20"/>
        </w:rPr>
        <w:t>2. ОБЯЗАТЕЛЬСТВА СТОРОН</w:t>
      </w:r>
    </w:p>
    <w:p w14:paraId="095B6AB2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2.1. ЗАКАЗЧИК обязуется:</w:t>
      </w:r>
    </w:p>
    <w:p w14:paraId="1318EF7B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2.1.1. Своевременно и в полном объёме произвести оплату стоимости УСЛУГ ОРГАНИЗАТОРА согласно п.3.1 ДОГОВОРА.</w:t>
      </w:r>
    </w:p>
    <w:p w14:paraId="3EA7F9BB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2.1.2. Создать все условия для оказания УСЛУГ представителями ОРГАНИЗАТОРА (предоставить помещение, оргтехнику, обеспечить присутствие необходимого персонала Компании на рабочих местах и т.п.), предоставить представителям ОРГАНИЗАТОРА доступ ко всей необходимой информации в рамках Системы менеджмента качества ЗАКАЗЧИКА и средствам для выполнения задачи, обеспечить их точной и полной информацией касательно всех процессов, которые являются важными для оценки Системы Менеджмента качества и имеют значение для принятия решения по итогам оценки Системы Менеджмента качества.</w:t>
      </w:r>
    </w:p>
    <w:p w14:paraId="4D244FAD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2.1.3. Своевременно информировать ОРГАНИЗАТОРА о любых изменениях, которые могут повлиять на сертифицированную систему менеджмента качества. В частности, это распространяется на покупку/продажу предприятия ЗАКАЗЧИКА либо его части, любые изменения в собственности, изменения в области распространения системы менеджмента качества, существенные изменения в процессах или на подачу заявления о несостоятельности.</w:t>
      </w:r>
    </w:p>
    <w:p w14:paraId="05118A66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2.2 ОРГАНИЗАТОР обязуется:</w:t>
      </w:r>
    </w:p>
    <w:p w14:paraId="0CF729C6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2.2.1. Нести ответственность за надлежащее оказание УСЛУГ в соответствии с условиями ДОГОВОРА.</w:t>
      </w:r>
    </w:p>
    <w:p w14:paraId="010A45AF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2.2.2. В целях исполнения ДОГОВОРА вести переговоры с Международным Сертификационным Органом.</w:t>
      </w:r>
    </w:p>
    <w:p w14:paraId="021FF942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2.2.3. Своевременно извещать ЗАКАЗЧИКА о возможных обстоятельствах, препятствующих реализации ДОГОВОРА.</w:t>
      </w:r>
    </w:p>
    <w:p w14:paraId="1FAA12AD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2.2.5. По результатам оказания услуг по каждому этапу аудита (</w:t>
      </w:r>
      <w:proofErr w:type="spellStart"/>
      <w:r w:rsidRPr="009B5F03">
        <w:rPr>
          <w:rFonts w:ascii="Tahoma" w:hAnsi="Tahoma" w:cs="Tahoma"/>
          <w:sz w:val="20"/>
          <w:szCs w:val="20"/>
        </w:rPr>
        <w:t>Ресертификационного</w:t>
      </w:r>
      <w:proofErr w:type="spellEnd"/>
      <w:r w:rsidRPr="009B5F03">
        <w:rPr>
          <w:rFonts w:ascii="Tahoma" w:hAnsi="Tahoma" w:cs="Tahoma"/>
          <w:sz w:val="20"/>
          <w:szCs w:val="20"/>
        </w:rPr>
        <w:t xml:space="preserve"> аудита, Первого наблюдательного аудита и Второго наблюдательного аудита) Системы Менеджмента качества, ОРГАНИЗАТОР в своем отчете подтверждает/не подтверждает, что ЗАКАЗЧИК отвечает требованиям стандарта, установленного в п. 1.2. ДОГОВОРА. В случае если ОРГАНИЗАТОР в своем отчете подтверждает, что ЗАКАЗЧИК соответствует требованиям стандарта, сертификат продолжает действовать, подтверждение действует в течение 1 года.  А в случае, если ОРГАНИЗАТОР выявляет несоответствия установленным требованиям стандарта, тогда СТОРОНЫ согласуют срок для устранения несоответствий, который не может превышать 90 (девяносто) календарных дней с момента получения ЗАКАЗЧИКОМ Отчета о результатах оценки Системы Менеджмента. </w:t>
      </w:r>
    </w:p>
    <w:p w14:paraId="5A9B3094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2.2.6. Не разглашать информацию, полученную в процессе оказания УСЛУГ третьим лицам, без предварительного письменного согласия ЗАКАЗЧИКА.</w:t>
      </w:r>
    </w:p>
    <w:p w14:paraId="0EA37207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2.2.7. Внести сумму гарантийного обеспечения исполнения Договора в порядке, предусмотренном в разделе 7 настоящего Договора.  </w:t>
      </w:r>
    </w:p>
    <w:p w14:paraId="2FA383A8" w14:textId="77777777" w:rsidR="0073427C" w:rsidRPr="009B5F03" w:rsidRDefault="0073427C" w:rsidP="0073427C">
      <w:pPr>
        <w:spacing w:after="0" w:line="240" w:lineRule="auto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9B5F03">
        <w:rPr>
          <w:rFonts w:ascii="Tahoma" w:hAnsi="Tahoma" w:cs="Tahoma"/>
          <w:b/>
          <w:sz w:val="20"/>
          <w:szCs w:val="20"/>
        </w:rPr>
        <w:t>3. СТОИМОСТЬ УСЛУГ И ПОРЯДОК ПЛАТЕЖЕЙ</w:t>
      </w:r>
    </w:p>
    <w:p w14:paraId="2EFE8778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eastAsia="PMingLiU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lastRenderedPageBreak/>
        <w:t xml:space="preserve">3.1. Общая стоимость УСЛУГ, включая проезд и проживание команды аудиторов, составляет _________ (__________) сом с учетом налогов, предусмотренных законодательством КР для данных правоотношений (Ставка </w:t>
      </w:r>
      <w:proofErr w:type="spellStart"/>
      <w:r w:rsidRPr="009B5F03">
        <w:rPr>
          <w:rFonts w:ascii="Tahoma" w:hAnsi="Tahoma" w:cs="Tahoma"/>
          <w:sz w:val="20"/>
          <w:szCs w:val="20"/>
        </w:rPr>
        <w:t>НсП</w:t>
      </w:r>
      <w:proofErr w:type="spellEnd"/>
      <w:r w:rsidRPr="009B5F03">
        <w:rPr>
          <w:rFonts w:ascii="Tahoma" w:hAnsi="Tahoma" w:cs="Tahoma"/>
          <w:sz w:val="20"/>
          <w:szCs w:val="20"/>
        </w:rPr>
        <w:t xml:space="preserve"> =0%, Организатор не является плательщиком НДС). </w:t>
      </w:r>
    </w:p>
    <w:p w14:paraId="759FCC59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УСЛУГИ включают в себя:</w:t>
      </w:r>
    </w:p>
    <w:p w14:paraId="0E6F76A9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eastAsia="PMingLiU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3.1.1. Этап «</w:t>
      </w:r>
      <w:proofErr w:type="spellStart"/>
      <w:r w:rsidRPr="009B5F03">
        <w:rPr>
          <w:rFonts w:ascii="Tahoma" w:hAnsi="Tahoma" w:cs="Tahoma"/>
          <w:sz w:val="20"/>
          <w:szCs w:val="20"/>
        </w:rPr>
        <w:t>Ресертификационный</w:t>
      </w:r>
      <w:proofErr w:type="spellEnd"/>
      <w:r w:rsidRPr="009B5F03">
        <w:rPr>
          <w:rFonts w:ascii="Tahoma" w:hAnsi="Tahoma" w:cs="Tahoma"/>
          <w:sz w:val="20"/>
          <w:szCs w:val="20"/>
        </w:rPr>
        <w:t xml:space="preserve"> аудит» в сумме _________ (_________) Сом;</w:t>
      </w:r>
    </w:p>
    <w:p w14:paraId="6527DC7A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3.1.2. Этап «Первый наблюдательный аудит» в сумме _________ (_________) Сом;</w:t>
      </w:r>
    </w:p>
    <w:p w14:paraId="45421F2B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3.1.3. Этап «Второй наблюдательный аудит» в сумме _________ (_________) Сом.</w:t>
      </w:r>
    </w:p>
    <w:p w14:paraId="14B28F36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</w:p>
    <w:p w14:paraId="212CD53F" w14:textId="77777777" w:rsidR="0073427C" w:rsidRPr="009B5F03" w:rsidRDefault="0073427C" w:rsidP="0073427C">
      <w:pPr>
        <w:spacing w:after="0" w:line="240" w:lineRule="auto"/>
        <w:ind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3.2. ЗАКАЗЧИК обязуется произвести оплату стоимости УСЛУГ, указанных в п.3.1. настоящего ДОГОВОРА в следующем порядке:</w:t>
      </w:r>
    </w:p>
    <w:p w14:paraId="4FFDA86E" w14:textId="77777777" w:rsidR="0073427C" w:rsidRPr="009B5F03" w:rsidRDefault="0073427C" w:rsidP="0073427C">
      <w:pPr>
        <w:pStyle w:val="a3"/>
        <w:numPr>
          <w:ilvl w:val="0"/>
          <w:numId w:val="37"/>
        </w:numPr>
        <w:ind w:left="0" w:right="28"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100% от стоимости этапа УСЛУГ ЗАКАЗЧИК оплачивает ОРГАНИЗАТОРУ в течение 10 (десять) банковских дней со дня получения счета-фактуры, выставленного ОРГАНИЗАТОРОМ на основании подписанного обеими сторонами Акта об оказанных услугах по результатам завершения этапа.</w:t>
      </w:r>
    </w:p>
    <w:p w14:paraId="513355EF" w14:textId="77777777" w:rsidR="0073427C" w:rsidRPr="009B5F03" w:rsidRDefault="0073427C" w:rsidP="0073427C">
      <w:pPr>
        <w:pStyle w:val="a3"/>
        <w:ind w:left="0" w:right="28"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3.3. Валюта платежа за УСЛУГИ – </w:t>
      </w:r>
      <w:proofErr w:type="spellStart"/>
      <w:r w:rsidRPr="009B5F03">
        <w:rPr>
          <w:rFonts w:ascii="Tahoma" w:hAnsi="Tahoma" w:cs="Tahoma"/>
          <w:sz w:val="20"/>
          <w:szCs w:val="20"/>
        </w:rPr>
        <w:t>Кыргызские</w:t>
      </w:r>
      <w:proofErr w:type="spellEnd"/>
      <w:r w:rsidRPr="009B5F03">
        <w:rPr>
          <w:rFonts w:ascii="Tahoma" w:hAnsi="Tahoma" w:cs="Tahoma"/>
          <w:sz w:val="20"/>
          <w:szCs w:val="20"/>
        </w:rPr>
        <w:t xml:space="preserve"> сомы.</w:t>
      </w:r>
    </w:p>
    <w:p w14:paraId="397480B9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3.4. В случае если во время оказания услуг этапов «</w:t>
      </w:r>
      <w:proofErr w:type="spellStart"/>
      <w:r w:rsidRPr="009B5F03">
        <w:rPr>
          <w:rFonts w:ascii="Tahoma" w:hAnsi="Tahoma" w:cs="Tahoma"/>
          <w:sz w:val="20"/>
          <w:szCs w:val="20"/>
        </w:rPr>
        <w:t>Ресертификационный</w:t>
      </w:r>
      <w:proofErr w:type="spellEnd"/>
      <w:r w:rsidRPr="009B5F03">
        <w:rPr>
          <w:rFonts w:ascii="Tahoma" w:hAnsi="Tahoma" w:cs="Tahoma"/>
          <w:sz w:val="20"/>
          <w:szCs w:val="20"/>
        </w:rPr>
        <w:t xml:space="preserve"> аудит», «Первый наблюдательный аудит» и «Второй наблюдательный аудит» Системы Менеджмента качества выявляются несоответствия в Системе Менеджмента качества ЗАКАЗЧИКА, указанные в пункте 2.2.5. ДОГОВОРА и ОРГАНИЗАТОРУ необходимо перепроверить эффективность предпринятых со стороны ЗАКАЗЧИКА путем анализа документации или проверки деятельности на предприятии, то требуется заключение дополнительного соглашения на оказание услуг.</w:t>
      </w:r>
    </w:p>
    <w:p w14:paraId="457B1D50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b/>
          <w:sz w:val="20"/>
          <w:szCs w:val="20"/>
        </w:rPr>
      </w:pPr>
    </w:p>
    <w:p w14:paraId="1F205351" w14:textId="77777777" w:rsidR="0073427C" w:rsidRPr="009B5F03" w:rsidRDefault="0073427C" w:rsidP="0073427C">
      <w:pPr>
        <w:spacing w:after="0" w:line="240" w:lineRule="auto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9B5F03">
        <w:rPr>
          <w:rFonts w:ascii="Tahoma" w:hAnsi="Tahoma" w:cs="Tahoma"/>
          <w:b/>
          <w:sz w:val="20"/>
          <w:szCs w:val="20"/>
        </w:rPr>
        <w:t>4. ПОРЯДОК ОРГАНИЗАЦИИ УСЛУГ</w:t>
      </w:r>
    </w:p>
    <w:p w14:paraId="36290851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4.1. Во время оказания УСЛУГ ЗАКАЗЧИК обеспечивает ОРГАНИЗАТОРУ доступ ко всей необходимой информации в сфере системы менеджмента качества ЗАКАЗЧИКА, при необходимости по электронной почте.</w:t>
      </w:r>
    </w:p>
    <w:p w14:paraId="5F30E69D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4.2. По результатам проведения анализа Системы Менеджмента качества по каждому этапу оказания Услуг, ОРГАНИЗАТОР направляет ЗАКАЗЧИКУ отчет о результатах оценки анализа Системы Менеджмента качества, и два экземпляра Акта оказанных услуг.</w:t>
      </w:r>
    </w:p>
    <w:p w14:paraId="720BF10B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4.3. ЗАКАЗЧИК в течение десяти банковских дней со дня получения Акта оказанных услуг обязан направить ОРГАНИЗАТОРУ подписанный акт, или в случае выявления в отчете/Акте информации, не соответствующей действительности, представить мотивированный отказ от приема УСЛУГ по соответствующему этапу и приложить к нему документы, подтверждающие доводы, которые послужили основанием для отказа. Выявленные несоответствия/ошибки ОРГАНИЗАТОР обязуется устранить в течение 10 календарных дней и направить отчет.</w:t>
      </w:r>
    </w:p>
    <w:p w14:paraId="4F2B354C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4.4. ОРГАНИЗАТОР в течение 90 календарных дней с даты составления отчета по </w:t>
      </w:r>
      <w:proofErr w:type="spellStart"/>
      <w:r w:rsidRPr="009B5F03">
        <w:rPr>
          <w:rFonts w:ascii="Tahoma" w:hAnsi="Tahoma" w:cs="Tahoma"/>
          <w:sz w:val="20"/>
          <w:szCs w:val="20"/>
        </w:rPr>
        <w:t>ресертификационному</w:t>
      </w:r>
      <w:proofErr w:type="spellEnd"/>
      <w:r w:rsidRPr="009B5F03">
        <w:rPr>
          <w:rFonts w:ascii="Tahoma" w:hAnsi="Tahoma" w:cs="Tahoma"/>
          <w:sz w:val="20"/>
          <w:szCs w:val="20"/>
        </w:rPr>
        <w:t xml:space="preserve"> аудиту, но не позднее 06.02.2023 г., предоставляет ЗАКАЗЧИКУ «Сертификат соответствия системы менеджмента требованиям стандарта ISO 9001:2015», выданный уполномоченным органом на новый срок. Сертификат может быть аннулирован в случае, если в процессе этапов «Первый наблюдательный аудит» и «Второй наблюдательный аудит» будет установлено, что ЗАКАЗЧИК предоставил недостоверную (подложную) информацию при проведении аудитов, а также в случае, если просрочка в проведении обязательных трех этапов по вине Заказчика превышает 6 (шесть) календарных месяцев по каждому этапу. Решение об аннулировании Сертификата принимается Международным Сертификационным Органом на основании представленной ему информации ОРГАНИЗАТОРОМ.</w:t>
      </w:r>
    </w:p>
    <w:p w14:paraId="47A879A7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14:paraId="254FDBBA" w14:textId="77777777" w:rsidR="0073427C" w:rsidRPr="009B5F03" w:rsidRDefault="0073427C" w:rsidP="0073427C">
      <w:pPr>
        <w:spacing w:after="0" w:line="240" w:lineRule="auto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9B5F03">
        <w:rPr>
          <w:rFonts w:ascii="Tahoma" w:hAnsi="Tahoma" w:cs="Tahoma"/>
          <w:b/>
          <w:sz w:val="20"/>
          <w:szCs w:val="20"/>
        </w:rPr>
        <w:t>5. ФОРС-МАЖОР</w:t>
      </w:r>
    </w:p>
    <w:p w14:paraId="03AD432B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5.1. СТОРОНЫ освобождаются от любой ответственности относительно невыполнения или перерыва в выполнении обязательств, оговоренных в ДОГОВОРЕ, в случае форс-мажорных обстоятельств, таких как: природные бедствия, война, мятежи, саботаж, забастовки, принятие государственными органами актов, препятствующих исполнению СТОРОНАМИ обязательств, а также наложение ареста на расчетные счета СТОРОН уполномоченными государственными органами.</w:t>
      </w:r>
    </w:p>
    <w:p w14:paraId="28F67EDF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5.2. СТОРОНА, для которой наступили форс-мажорные обстоятельства, должна сообщить другой СТОРОНЕ в письменной форме о наступлении форс-мажорных обстоятельств не позднее 10 (десяти) дней после их наступления. СТОРОНА, объявляющая форс-мажорные обстоятельства, должна сообщить другой СТОРОНЕ о прекращении действия данных обстоятельств таким же образом и в такие же сроки, как описано выше.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 </w:t>
      </w:r>
    </w:p>
    <w:p w14:paraId="136DF7F9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При наступлении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CCEBF74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5.3. В случае если СТОРОНА, для которой наступили обстоятельства, указанные в п.5.1 настоящего ДОГОВОРА не информирует другую СТОРОНУ о начале и прекращении таких обстоятельств, не имеет права на них ссылаться.</w:t>
      </w:r>
    </w:p>
    <w:p w14:paraId="2293C798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lastRenderedPageBreak/>
        <w:t xml:space="preserve">5.4. Если указанные обстоятельства продолжаются более 1 (Одного) месяца, каждая СТОРОНА имеет право на досрочное расторжение ДОГОВОРА. В этом случае СТОРОНЫ производят необходимые взаиморасчеты в течение 10 (Десяти) рабочих дней. Срок действия сертификата не прерывается, сертификат действует до следующего наблюдательного аудита. </w:t>
      </w:r>
    </w:p>
    <w:p w14:paraId="1A5CCED7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5.5. СТОРОНА, ссылающаяся на форс-мажорные обстоятельства, в течение 30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органа. Разумность сроков в данном случае определяется порядком документооборота соответствующего компетентного органа.</w:t>
      </w:r>
    </w:p>
    <w:p w14:paraId="0DFCA64C" w14:textId="77777777" w:rsidR="0073427C" w:rsidRPr="009B5F03" w:rsidRDefault="0073427C" w:rsidP="0073427C">
      <w:pPr>
        <w:spacing w:after="0" w:line="240" w:lineRule="auto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9B5F03">
        <w:rPr>
          <w:rFonts w:ascii="Tahoma" w:hAnsi="Tahoma" w:cs="Tahoma"/>
          <w:b/>
          <w:sz w:val="20"/>
          <w:szCs w:val="20"/>
        </w:rPr>
        <w:t>6. ОТВЕТСТВЕННОСТЬ СТОРОН</w:t>
      </w:r>
    </w:p>
    <w:p w14:paraId="308460E4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6.1. За несвоевременную оплату по ДОГОВОРУ, ОРГАНИЗАТОР вправе требовать от ЗАКАЗЧИКА уплаты пени в размере 0,1% от несвоевременно уплаченной суммы за каждый день просрочки, но не более 10% стоимости просроченного платежа.</w:t>
      </w:r>
    </w:p>
    <w:p w14:paraId="6185D5E8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6.2 Меры ответственности СТОРОН, не предусмотренные настоящим Договором, применяются в соответствии с действующим законодательством Кыргызской Республики.</w:t>
      </w:r>
    </w:p>
    <w:p w14:paraId="666BFF45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6.3. В случае нарушения ОРГАНИЗАТОРОМ срока оказания УСЛУГ настоящего Договора ЗАКАЗЧИК вправе требовать от ОРГАНИЗАТОРА уплаты пени в размере 0,1 % от общей стоимости Договора за каждый день просрочки, но не более 10% стоимости ДОГОВОРА. </w:t>
      </w:r>
    </w:p>
    <w:p w14:paraId="582CD9AC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6.4. В случае если нарушение сроков начала оказания УСЛУГ превысит 10 календарных дней свыше срока, указанного в 1.4. ДОГОВОРА, ЗАКАЗЧИК вправе отказаться от услуг ОРГАНИЗАТОРА, при этом ОРГАНИЗАТОР осуществляет возврат предоплаченной суммы. </w:t>
      </w:r>
    </w:p>
    <w:p w14:paraId="4BA792FF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6.5 Уплата неустойки (пени) не освобождает СТОРОНЫ от исполнения обязательств, принятых на себя в результате заключения ДОГОВОРА.</w:t>
      </w:r>
    </w:p>
    <w:p w14:paraId="76BF0F9C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6.6.  В случае несвоевременного устранения выявленных несоответствий в Системе Менеджмента по стандарту ISO 9001:2015 в соответствии с процедурами и требованиями ОРГАНИЗАТОРА и Международного Сертификационного органа сертификат не аннулируется.</w:t>
      </w:r>
    </w:p>
    <w:p w14:paraId="1AC6BEBF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6.7. Обязанность виновной стороны по оплате неустойки возникает с момента получения ею требования от другой стороны об оплате неустойки.</w:t>
      </w:r>
    </w:p>
    <w:p w14:paraId="55906E97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6.8. Виновная СТОРОНА, уплачивает неустойку, путем перечисления денежных средств на расчетный счет другой СТОРОНЫ, в течение 5 (пяти) банковских дней после получения требования уплатить неустойку. Размер неустойки должен быть указан в сомах.</w:t>
      </w:r>
    </w:p>
    <w:p w14:paraId="20EF8274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14:paraId="1F6C6FB0" w14:textId="77777777" w:rsidR="0073427C" w:rsidRPr="009B5F03" w:rsidRDefault="0073427C" w:rsidP="0073427C">
      <w:pPr>
        <w:pStyle w:val="af2"/>
        <w:ind w:firstLine="426"/>
        <w:jc w:val="center"/>
        <w:rPr>
          <w:rFonts w:ascii="Tahoma" w:hAnsi="Tahoma" w:cs="Tahoma"/>
          <w:b/>
          <w:noProof/>
          <w:sz w:val="20"/>
          <w:szCs w:val="20"/>
        </w:rPr>
      </w:pPr>
      <w:r w:rsidRPr="009B5F03">
        <w:rPr>
          <w:rFonts w:ascii="Tahoma" w:hAnsi="Tahoma" w:cs="Tahoma"/>
          <w:b/>
          <w:noProof/>
          <w:sz w:val="20"/>
          <w:szCs w:val="20"/>
        </w:rPr>
        <w:t>7. ГАРАНТИЙНОЕ ОБЕСПЕЧЕНИЕ ИСПОЛНЕНИЯ ДОГОВОРА</w:t>
      </w:r>
    </w:p>
    <w:p w14:paraId="1E057AB9" w14:textId="77777777" w:rsidR="0073427C" w:rsidRPr="009B5F03" w:rsidRDefault="0073427C" w:rsidP="0073427C">
      <w:pPr>
        <w:pStyle w:val="af2"/>
        <w:ind w:firstLine="426"/>
        <w:rPr>
          <w:rFonts w:ascii="Tahoma" w:hAnsi="Tahoma" w:cs="Tahoma"/>
          <w:b/>
          <w:noProof/>
          <w:sz w:val="20"/>
          <w:szCs w:val="20"/>
        </w:rPr>
      </w:pPr>
      <w:r w:rsidRPr="009B5F03">
        <w:rPr>
          <w:rFonts w:ascii="Tahoma" w:hAnsi="Tahoma" w:cs="Tahoma"/>
          <w:noProof/>
          <w:sz w:val="20"/>
          <w:szCs w:val="20"/>
        </w:rPr>
        <w:t xml:space="preserve">7.1.    Гарантийное обеспечение исполнения Договора,  ОРГАНИЗАТОР  вносит  в течение 5  (пяти) банковских  дней с даты подписания  настоящего Договора.  </w:t>
      </w:r>
    </w:p>
    <w:p w14:paraId="5341BF22" w14:textId="77777777" w:rsidR="0073427C" w:rsidRPr="009B5F03" w:rsidRDefault="0073427C" w:rsidP="0073427C">
      <w:pPr>
        <w:pStyle w:val="af2"/>
        <w:ind w:firstLine="426"/>
        <w:jc w:val="both"/>
        <w:rPr>
          <w:rFonts w:ascii="Tahoma" w:hAnsi="Tahoma" w:cs="Tahoma"/>
          <w:noProof/>
          <w:sz w:val="20"/>
          <w:szCs w:val="20"/>
        </w:rPr>
      </w:pPr>
      <w:r w:rsidRPr="009B5F03">
        <w:rPr>
          <w:rFonts w:ascii="Tahoma" w:hAnsi="Tahoma" w:cs="Tahoma"/>
          <w:noProof/>
          <w:sz w:val="20"/>
          <w:szCs w:val="20"/>
        </w:rPr>
        <w:t xml:space="preserve">7.2. Сумма гарантийного обеспечения исполнения договора составляет ______ (___) сом до полного его исполнения. </w:t>
      </w:r>
    </w:p>
    <w:p w14:paraId="1C4E5079" w14:textId="77777777" w:rsidR="0073427C" w:rsidRPr="009B5F03" w:rsidRDefault="0073427C" w:rsidP="0073427C">
      <w:pPr>
        <w:pStyle w:val="af2"/>
        <w:ind w:firstLine="426"/>
        <w:jc w:val="both"/>
        <w:rPr>
          <w:rFonts w:ascii="Tahoma" w:hAnsi="Tahoma" w:cs="Tahoma"/>
          <w:noProof/>
          <w:sz w:val="20"/>
          <w:szCs w:val="20"/>
        </w:rPr>
      </w:pPr>
      <w:r w:rsidRPr="009B5F03">
        <w:rPr>
          <w:rFonts w:ascii="Tahoma" w:hAnsi="Tahoma" w:cs="Tahoma"/>
          <w:noProof/>
          <w:sz w:val="20"/>
          <w:szCs w:val="20"/>
        </w:rPr>
        <w:t>7.3.</w:t>
      </w:r>
      <w:r w:rsidRPr="009B5F03">
        <w:rPr>
          <w:rFonts w:ascii="Tahoma" w:hAnsi="Tahoma" w:cs="Tahoma"/>
          <w:sz w:val="20"/>
          <w:szCs w:val="20"/>
        </w:rPr>
        <w:t xml:space="preserve"> Сумма гарантийного обеспечения исполнения Договора </w:t>
      </w:r>
      <w:r w:rsidRPr="009B5F03">
        <w:rPr>
          <w:rFonts w:ascii="Tahoma" w:hAnsi="Tahoma" w:cs="Tahoma"/>
          <w:noProof/>
          <w:sz w:val="20"/>
          <w:szCs w:val="20"/>
        </w:rPr>
        <w:t xml:space="preserve">возвращается ЗАКАЗЧИКОМ  после полного исполнения ОРГАНИЗАТОРОМ  своих обязательств по настоящему Договору,  в течение 5 (пяти) банковских дней, путем перечисления денежных средств на расчетный счет ОРГАНИЗАТОРА  указанного в разделе 11 настоящего Договора, на основании подписанного Сторонами Акта об оказанных услугах . </w:t>
      </w:r>
    </w:p>
    <w:p w14:paraId="0371F2A0" w14:textId="77777777" w:rsidR="0073427C" w:rsidRPr="009B5F03" w:rsidRDefault="0073427C" w:rsidP="0073427C">
      <w:pPr>
        <w:pStyle w:val="af2"/>
        <w:ind w:firstLine="426"/>
        <w:jc w:val="both"/>
        <w:rPr>
          <w:rFonts w:ascii="Tahoma" w:hAnsi="Tahoma" w:cs="Tahoma"/>
          <w:noProof/>
          <w:sz w:val="20"/>
          <w:szCs w:val="20"/>
        </w:rPr>
      </w:pPr>
      <w:r w:rsidRPr="009B5F03">
        <w:rPr>
          <w:rFonts w:ascii="Tahoma" w:hAnsi="Tahoma" w:cs="Tahoma"/>
          <w:noProof/>
          <w:sz w:val="20"/>
          <w:szCs w:val="20"/>
        </w:rPr>
        <w:t xml:space="preserve">7.4. В случае ненадлежащего исполнения ОРГАНИЗАТОРОМ своих обязательств, из суммы гарантийного обеспечения исполнения Договора ЗАКАЗЧИК  в безакцептном порядке вычитает начисленную  неустойку и остаток возвращает согласно п. 7.3 . </w:t>
      </w:r>
    </w:p>
    <w:p w14:paraId="45758E3C" w14:textId="77777777" w:rsidR="0073427C" w:rsidRPr="009B5F03" w:rsidRDefault="0073427C" w:rsidP="0073427C">
      <w:pPr>
        <w:pStyle w:val="af2"/>
        <w:ind w:firstLine="426"/>
        <w:jc w:val="both"/>
        <w:rPr>
          <w:rFonts w:ascii="Tahoma" w:hAnsi="Tahoma" w:cs="Tahoma"/>
          <w:sz w:val="20"/>
          <w:szCs w:val="20"/>
        </w:rPr>
      </w:pPr>
    </w:p>
    <w:p w14:paraId="49DE70C8" w14:textId="77777777" w:rsidR="0073427C" w:rsidRPr="009B5F03" w:rsidRDefault="0073427C" w:rsidP="0073427C">
      <w:pPr>
        <w:spacing w:after="0" w:line="240" w:lineRule="auto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9B5F03">
        <w:rPr>
          <w:rFonts w:ascii="Tahoma" w:hAnsi="Tahoma" w:cs="Tahoma"/>
          <w:b/>
          <w:sz w:val="20"/>
          <w:szCs w:val="20"/>
        </w:rPr>
        <w:t>8. КОНФИДЕНЦИАЛЬНОСТЬ</w:t>
      </w:r>
    </w:p>
    <w:p w14:paraId="75999274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8.1. СТОРОНЫ настоящим подтверждают, что все сведения, которыми они обмениваются в рамках настоящего Договора, носят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14:paraId="1F945844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8.2. Никакая конфиденциальная информация не может быть разглашена какой-либо из СТОРОН каким бы то ни было другим лицам или организациям, без предварительного письменного согласия на это другой СТОРОНЫ (разглашающей стороны) в течение срока действия настоящего ДОГОВОРА, а также в течение 5 (пяти) лет после его прекращения по любой причине, за исключением случаев, предусмотренных действующим законодательством Кыргызской республики.</w:t>
      </w:r>
    </w:p>
    <w:p w14:paraId="190AE061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8.3.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14:paraId="514E9B24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8.4.</w:t>
      </w:r>
      <w:r w:rsidRPr="009B5F03">
        <w:rPr>
          <w:rFonts w:ascii="Tahoma" w:hAnsi="Tahoma" w:cs="Tahoma"/>
          <w:sz w:val="20"/>
          <w:szCs w:val="20"/>
        </w:rPr>
        <w:tab/>
        <w:t>Требования пункта 8.1 Договора не распространяются на информацию, которая:</w:t>
      </w:r>
    </w:p>
    <w:p w14:paraId="4FA28CDE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2A0303DB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lastRenderedPageBreak/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50B7AEEA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- была известна получающей стороне или находилась в ее распоряжении до ее получения;</w:t>
      </w:r>
    </w:p>
    <w:p w14:paraId="31BE365A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6937F163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16"/>
          <w:szCs w:val="20"/>
        </w:rPr>
      </w:pPr>
    </w:p>
    <w:p w14:paraId="223442E0" w14:textId="77777777" w:rsidR="0073427C" w:rsidRPr="009B5F03" w:rsidRDefault="0073427C" w:rsidP="0073427C">
      <w:pPr>
        <w:spacing w:after="0" w:line="240" w:lineRule="auto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9B5F03">
        <w:rPr>
          <w:rFonts w:ascii="Tahoma" w:hAnsi="Tahoma" w:cs="Tahoma"/>
          <w:b/>
          <w:sz w:val="20"/>
          <w:szCs w:val="20"/>
        </w:rPr>
        <w:t xml:space="preserve">9. ПОРЯДОК РАЗРЕШЕНИЯ СПОРОВ </w:t>
      </w:r>
    </w:p>
    <w:p w14:paraId="49F65208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9.1. Все противоречия, споры и разногласия, возникающие из ДОГОВОРА, должны быть урегулированы СТОРОНАМИ путем переговоров. </w:t>
      </w:r>
    </w:p>
    <w:p w14:paraId="09B5E1C3" w14:textId="77777777" w:rsidR="0073427C" w:rsidRPr="009B5F03" w:rsidRDefault="0073427C" w:rsidP="0073427C">
      <w:pPr>
        <w:pStyle w:val="affb"/>
        <w:ind w:firstLine="0"/>
        <w:rPr>
          <w:rFonts w:ascii="Tahoma" w:hAnsi="Tahoma" w:cs="Tahoma"/>
          <w:sz w:val="20"/>
        </w:rPr>
      </w:pPr>
      <w:r w:rsidRPr="009B5F03">
        <w:rPr>
          <w:rFonts w:ascii="Tahoma" w:hAnsi="Tahoma" w:cs="Tahoma"/>
          <w:sz w:val="20"/>
        </w:rPr>
        <w:t>9.2. Если попытка урегулирования на взаимно-согласованной основе не удалась, то все споры и разногласия по ДОГОВОРУ подлежат разрешению в судах общей юрисдикции Кыргызской Республики по месту нахождения ЗАКАЗЧИКА, в соответствии с законодательством Кыргызской Республики.</w:t>
      </w:r>
    </w:p>
    <w:p w14:paraId="21A2BC0D" w14:textId="77777777" w:rsidR="0073427C" w:rsidRPr="009B5F03" w:rsidRDefault="0073427C" w:rsidP="0073427C">
      <w:pPr>
        <w:pStyle w:val="a3"/>
        <w:numPr>
          <w:ilvl w:val="1"/>
          <w:numId w:val="38"/>
        </w:numPr>
        <w:suppressAutoHyphens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9B5F03">
        <w:rPr>
          <w:rFonts w:ascii="Tahoma" w:hAnsi="Tahoma" w:cs="Tahoma"/>
          <w:color w:val="000000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7B14F9C3" w14:textId="77777777" w:rsidR="0073427C" w:rsidRPr="009B5F03" w:rsidRDefault="0073427C" w:rsidP="0073427C">
      <w:pPr>
        <w:pStyle w:val="a3"/>
        <w:numPr>
          <w:ilvl w:val="1"/>
          <w:numId w:val="38"/>
        </w:numPr>
        <w:ind w:left="0" w:hanging="11"/>
        <w:rPr>
          <w:rFonts w:ascii="Tahoma" w:hAnsi="Tahoma" w:cs="Tahoma"/>
          <w:color w:val="000000"/>
          <w:sz w:val="20"/>
          <w:szCs w:val="20"/>
        </w:rPr>
      </w:pPr>
      <w:r w:rsidRPr="009B5F03">
        <w:rPr>
          <w:rFonts w:ascii="Tahoma" w:hAnsi="Tahoma" w:cs="Tahoma"/>
          <w:color w:val="000000"/>
          <w:sz w:val="20"/>
          <w:szCs w:val="20"/>
        </w:rPr>
        <w:t>Сторона, получившая претензию, обязана предоставить другой Стороне ответ в течение 10 (Десяти) рабочих дней со дня получения претензии.</w:t>
      </w:r>
    </w:p>
    <w:p w14:paraId="6BF55305" w14:textId="77777777" w:rsidR="0073427C" w:rsidRPr="009B5F03" w:rsidRDefault="0073427C" w:rsidP="00650BE2">
      <w:pPr>
        <w:pStyle w:val="10"/>
        <w:spacing w:before="0" w:beforeAutospacing="0" w:after="0"/>
        <w:ind w:firstLine="426"/>
        <w:jc w:val="center"/>
        <w:rPr>
          <w:rFonts w:ascii="Tahoma" w:hAnsi="Tahoma" w:cs="Tahoma"/>
          <w:b w:val="0"/>
          <w:bCs w:val="0"/>
          <w:sz w:val="20"/>
          <w:lang w:val="ru-RU"/>
        </w:rPr>
      </w:pPr>
      <w:r w:rsidRPr="009B5F03">
        <w:rPr>
          <w:rFonts w:ascii="Tahoma" w:hAnsi="Tahoma" w:cs="Tahoma"/>
          <w:sz w:val="20"/>
          <w:lang w:val="ru-RU"/>
        </w:rPr>
        <w:t>10. ПРОЧИЕ УСЛОВИЯ</w:t>
      </w:r>
    </w:p>
    <w:p w14:paraId="3D7ED15D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10.1. Изменения и дополнения к ДОГОВОРУ действительны лишь в том случае, если они совершены в письменной форме и подписаны полномочными представителями ОРГАНИЗАТОРА и ЗАКАЗЧИКА.</w:t>
      </w:r>
    </w:p>
    <w:p w14:paraId="4532C203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10.2. ДОГОВОР может быть расторгнут ЗАКАЗЧИКОМ в одностороннем порядке путем направления письменного уведомления о расторжении ДОГОВОРА за 10 (десять) календарных дней до планируемой даты расторжения. </w:t>
      </w:r>
    </w:p>
    <w:p w14:paraId="4749D624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10.3. ДОГОВОР составлен на русском языке в двух экземплярах (один ЗАКАЗЧИКУ, один ОРГАНИЗАТОРУ), имеющих равную юридическую силу.</w:t>
      </w:r>
    </w:p>
    <w:p w14:paraId="76A8EFE0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>10.4. ДОГОВОР вступает в силу с момента его подписания обеими СТОРОНАМИ и действителен до исполнения СТОРОНАМИ обязательств, предусмотренных ДОГОВОРОМ, в том числе взаиморасчетов между СТОРОНАМИ.</w:t>
      </w:r>
    </w:p>
    <w:p w14:paraId="4A076B8C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9B5F03">
        <w:rPr>
          <w:rFonts w:ascii="Tahoma" w:hAnsi="Tahoma" w:cs="Tahoma"/>
          <w:sz w:val="20"/>
          <w:szCs w:val="20"/>
        </w:rPr>
        <w:t xml:space="preserve">10.5. </w:t>
      </w:r>
      <w:r w:rsidRPr="009B5F03">
        <w:rPr>
          <w:rFonts w:ascii="Tahoma" w:hAnsi="Tahoma" w:cs="Tahoma"/>
          <w:color w:val="000000"/>
          <w:sz w:val="20"/>
          <w:szCs w:val="20"/>
        </w:rPr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</w:t>
      </w:r>
    </w:p>
    <w:p w14:paraId="19B5A76A" w14:textId="77777777" w:rsidR="0073427C" w:rsidRPr="009B5F03" w:rsidRDefault="0073427C" w:rsidP="0073427C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14:paraId="68E440E8" w14:textId="77777777" w:rsidR="0073427C" w:rsidRPr="009B5F03" w:rsidRDefault="0073427C" w:rsidP="0073427C">
      <w:pPr>
        <w:pStyle w:val="8"/>
        <w:spacing w:after="0"/>
        <w:ind w:left="0" w:firstLine="0"/>
        <w:jc w:val="center"/>
        <w:rPr>
          <w:rFonts w:ascii="Tahoma" w:hAnsi="Tahoma" w:cs="Tahoma"/>
          <w:b/>
          <w:bCs/>
          <w:i/>
          <w:iCs/>
          <w:kern w:val="36"/>
          <w:lang w:val="x-none"/>
        </w:rPr>
      </w:pPr>
      <w:r w:rsidRPr="009B5F03">
        <w:rPr>
          <w:rFonts w:ascii="Tahoma" w:hAnsi="Tahoma" w:cs="Tahoma"/>
          <w:b/>
          <w:bCs/>
          <w:kern w:val="36"/>
          <w:lang w:val="x-none"/>
        </w:rPr>
        <w:t>11. ЮРИДИЧЕСКИЕ АДРЕСА И БАНКОВСКИЕ РЕКВИЗИТЫ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54"/>
        <w:gridCol w:w="446"/>
        <w:gridCol w:w="4454"/>
      </w:tblGrid>
      <w:tr w:rsidR="0073427C" w:rsidRPr="009B5F03" w14:paraId="76C160B3" w14:textId="77777777" w:rsidTr="00650BE2">
        <w:trPr>
          <w:trHeight w:val="57"/>
        </w:trPr>
        <w:tc>
          <w:tcPr>
            <w:tcW w:w="4900" w:type="dxa"/>
            <w:gridSpan w:val="2"/>
          </w:tcPr>
          <w:p w14:paraId="2EC334D8" w14:textId="77777777" w:rsidR="0073427C" w:rsidRPr="009B5F03" w:rsidRDefault="0073427C" w:rsidP="00FA6C87">
            <w:pPr>
              <w:spacing w:after="0" w:line="240" w:lineRule="auto"/>
              <w:ind w:firstLine="42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>ЗАКАЗЧИК:</w:t>
            </w:r>
          </w:p>
          <w:p w14:paraId="11CF1053" w14:textId="77777777" w:rsidR="0073427C" w:rsidRPr="009B5F03" w:rsidRDefault="0073427C" w:rsidP="00FA6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>ЗАО «Альфа Телеком»</w:t>
            </w:r>
          </w:p>
        </w:tc>
        <w:tc>
          <w:tcPr>
            <w:tcW w:w="4454" w:type="dxa"/>
          </w:tcPr>
          <w:p w14:paraId="7746EB64" w14:textId="77777777" w:rsidR="0073427C" w:rsidRPr="009B5F03" w:rsidRDefault="0073427C" w:rsidP="00FA6C87">
            <w:pPr>
              <w:spacing w:after="0" w:line="240" w:lineRule="auto"/>
              <w:ind w:firstLine="42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>Организатор:</w:t>
            </w:r>
          </w:p>
        </w:tc>
      </w:tr>
      <w:tr w:rsidR="0073427C" w:rsidRPr="006357C5" w14:paraId="718F7C4A" w14:textId="77777777" w:rsidTr="00FA6C87">
        <w:trPr>
          <w:gridAfter w:val="2"/>
          <w:wAfter w:w="4900" w:type="dxa"/>
          <w:trHeight w:val="2559"/>
        </w:trPr>
        <w:tc>
          <w:tcPr>
            <w:tcW w:w="4454" w:type="dxa"/>
          </w:tcPr>
          <w:p w14:paraId="73A79927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Адрес: </w:t>
            </w:r>
            <w:r w:rsidRPr="009B5F03">
              <w:rPr>
                <w:rFonts w:ascii="Tahoma" w:hAnsi="Tahoma" w:cs="Tahoma"/>
                <w:sz w:val="20"/>
                <w:szCs w:val="20"/>
              </w:rPr>
              <w:t>Кыргызская Республика, г. Бишкек</w:t>
            </w:r>
          </w:p>
          <w:p w14:paraId="7FAB5D2F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sz w:val="20"/>
                <w:szCs w:val="20"/>
              </w:rPr>
              <w:t xml:space="preserve">Юридический адрес: </w:t>
            </w:r>
            <w:r w:rsidRPr="009B5F03">
              <w:rPr>
                <w:rFonts w:ascii="Tahoma" w:hAnsi="Tahoma" w:cs="Tahoma"/>
                <w:sz w:val="20"/>
                <w:szCs w:val="20"/>
              </w:rPr>
              <w:t xml:space="preserve">ул. </w:t>
            </w:r>
            <w:proofErr w:type="spellStart"/>
            <w:r w:rsidRPr="009B5F03">
              <w:rPr>
                <w:rFonts w:ascii="Tahoma" w:hAnsi="Tahoma" w:cs="Tahoma"/>
                <w:sz w:val="20"/>
                <w:szCs w:val="20"/>
              </w:rPr>
              <w:t>Суюмбаева</w:t>
            </w:r>
            <w:proofErr w:type="spellEnd"/>
            <w:r w:rsidRPr="009B5F03">
              <w:rPr>
                <w:rFonts w:ascii="Tahoma" w:hAnsi="Tahoma" w:cs="Tahoma"/>
                <w:sz w:val="20"/>
                <w:szCs w:val="20"/>
              </w:rPr>
              <w:t>, 123</w:t>
            </w:r>
          </w:p>
          <w:p w14:paraId="6C22C331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sz w:val="20"/>
                <w:szCs w:val="20"/>
              </w:rPr>
              <w:t>Почтовый адрес:</w:t>
            </w:r>
            <w:r w:rsidRPr="009B5F03">
              <w:rPr>
                <w:rFonts w:ascii="Tahoma" w:hAnsi="Tahoma" w:cs="Tahoma"/>
                <w:sz w:val="20"/>
                <w:szCs w:val="20"/>
              </w:rPr>
              <w:t xml:space="preserve"> ул. </w:t>
            </w:r>
            <w:proofErr w:type="spellStart"/>
            <w:r w:rsidRPr="009B5F03">
              <w:rPr>
                <w:rFonts w:ascii="Tahoma" w:hAnsi="Tahoma" w:cs="Tahoma"/>
                <w:sz w:val="20"/>
                <w:szCs w:val="20"/>
              </w:rPr>
              <w:t>Суюмбаева</w:t>
            </w:r>
            <w:proofErr w:type="spellEnd"/>
            <w:r w:rsidRPr="009B5F03">
              <w:rPr>
                <w:rFonts w:ascii="Tahoma" w:hAnsi="Tahoma" w:cs="Tahoma"/>
                <w:sz w:val="20"/>
                <w:szCs w:val="20"/>
              </w:rPr>
              <w:t>, 123</w:t>
            </w:r>
          </w:p>
          <w:p w14:paraId="0CA71708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Банк получателя </w:t>
            </w: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  <w:p w14:paraId="012B3480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B5F03">
              <w:rPr>
                <w:rFonts w:ascii="Tahoma" w:hAnsi="Tahoma" w:cs="Tahoma"/>
                <w:bCs/>
                <w:sz w:val="20"/>
                <w:szCs w:val="20"/>
              </w:rPr>
              <w:t>БЦФ ОАО «</w:t>
            </w:r>
            <w:proofErr w:type="spellStart"/>
            <w:r w:rsidRPr="009B5F03">
              <w:rPr>
                <w:rFonts w:ascii="Tahoma" w:hAnsi="Tahoma" w:cs="Tahoma"/>
                <w:bCs/>
                <w:sz w:val="20"/>
                <w:szCs w:val="20"/>
              </w:rPr>
              <w:t>Оптима</w:t>
            </w:r>
            <w:proofErr w:type="spellEnd"/>
            <w:r w:rsidRPr="009B5F03">
              <w:rPr>
                <w:rFonts w:ascii="Tahoma" w:hAnsi="Tahoma" w:cs="Tahoma"/>
                <w:bCs/>
                <w:sz w:val="20"/>
                <w:szCs w:val="20"/>
              </w:rPr>
              <w:t xml:space="preserve"> Банк», </w:t>
            </w:r>
          </w:p>
          <w:p w14:paraId="7189B484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F03">
              <w:rPr>
                <w:rFonts w:ascii="Tahoma" w:hAnsi="Tahoma" w:cs="Tahoma"/>
                <w:bCs/>
                <w:sz w:val="20"/>
                <w:szCs w:val="20"/>
              </w:rPr>
              <w:t>г. Бишкек, Кыргызская Республика</w:t>
            </w:r>
          </w:p>
          <w:p w14:paraId="4ADF17A0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>Получатель</w:t>
            </w: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>ЗАО «Альфа Телеком»</w:t>
            </w:r>
          </w:p>
          <w:p w14:paraId="6B9A3B40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Счет: </w:t>
            </w:r>
            <w:r w:rsidRPr="009B5F03">
              <w:rPr>
                <w:rFonts w:ascii="Tahoma" w:hAnsi="Tahoma" w:cs="Tahoma"/>
                <w:bCs/>
                <w:sz w:val="20"/>
                <w:szCs w:val="20"/>
              </w:rPr>
              <w:t>№ 1091820182530113</w:t>
            </w:r>
          </w:p>
          <w:p w14:paraId="16DFF632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БИК: </w:t>
            </w:r>
            <w:r w:rsidRPr="009B5F03">
              <w:rPr>
                <w:rFonts w:ascii="Tahoma" w:hAnsi="Tahoma" w:cs="Tahoma"/>
                <w:bCs/>
                <w:sz w:val="20"/>
                <w:szCs w:val="20"/>
              </w:rPr>
              <w:t>109018</w:t>
            </w:r>
          </w:p>
          <w:p w14:paraId="28F49E07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ИНН: </w:t>
            </w:r>
            <w:r w:rsidRPr="009B5F03">
              <w:rPr>
                <w:rFonts w:ascii="Tahoma" w:hAnsi="Tahoma" w:cs="Tahoma"/>
                <w:bCs/>
                <w:sz w:val="20"/>
                <w:szCs w:val="20"/>
              </w:rPr>
              <w:t>00406200910056</w:t>
            </w:r>
          </w:p>
          <w:p w14:paraId="4B5F3F6B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010D3A6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>Для ГОИД:</w:t>
            </w:r>
          </w:p>
          <w:p w14:paraId="409450BC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Адрес: </w:t>
            </w:r>
            <w:r w:rsidRPr="009B5F03">
              <w:rPr>
                <w:rFonts w:ascii="Tahoma" w:hAnsi="Tahoma" w:cs="Tahoma"/>
                <w:sz w:val="20"/>
                <w:szCs w:val="20"/>
              </w:rPr>
              <w:t>Кыргызская Республика, г. Бишкек</w:t>
            </w:r>
          </w:p>
          <w:p w14:paraId="14EA1670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sz w:val="20"/>
                <w:szCs w:val="20"/>
              </w:rPr>
              <w:t xml:space="preserve">Юридический адрес: </w:t>
            </w:r>
            <w:r w:rsidRPr="009B5F03">
              <w:rPr>
                <w:rFonts w:ascii="Tahoma" w:hAnsi="Tahoma" w:cs="Tahoma"/>
                <w:sz w:val="20"/>
                <w:szCs w:val="20"/>
              </w:rPr>
              <w:t xml:space="preserve">ул. </w:t>
            </w:r>
            <w:proofErr w:type="spellStart"/>
            <w:r w:rsidRPr="009B5F03">
              <w:rPr>
                <w:rFonts w:ascii="Tahoma" w:hAnsi="Tahoma" w:cs="Tahoma"/>
                <w:sz w:val="20"/>
                <w:szCs w:val="20"/>
              </w:rPr>
              <w:t>Суюмбаева</w:t>
            </w:r>
            <w:proofErr w:type="spellEnd"/>
            <w:r w:rsidRPr="009B5F03">
              <w:rPr>
                <w:rFonts w:ascii="Tahoma" w:hAnsi="Tahoma" w:cs="Tahoma"/>
                <w:sz w:val="20"/>
                <w:szCs w:val="20"/>
              </w:rPr>
              <w:t>, 123</w:t>
            </w:r>
          </w:p>
          <w:p w14:paraId="736B8DDE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sz w:val="20"/>
                <w:szCs w:val="20"/>
              </w:rPr>
              <w:t>Почтовый адрес:</w:t>
            </w:r>
            <w:r w:rsidRPr="009B5F03">
              <w:rPr>
                <w:rFonts w:ascii="Tahoma" w:hAnsi="Tahoma" w:cs="Tahoma"/>
                <w:sz w:val="20"/>
                <w:szCs w:val="20"/>
              </w:rPr>
              <w:t xml:space="preserve"> ул. </w:t>
            </w:r>
            <w:proofErr w:type="spellStart"/>
            <w:r w:rsidRPr="009B5F03">
              <w:rPr>
                <w:rFonts w:ascii="Tahoma" w:hAnsi="Tahoma" w:cs="Tahoma"/>
                <w:sz w:val="20"/>
                <w:szCs w:val="20"/>
              </w:rPr>
              <w:t>Суюмбаева</w:t>
            </w:r>
            <w:proofErr w:type="spellEnd"/>
            <w:r w:rsidRPr="009B5F03">
              <w:rPr>
                <w:rFonts w:ascii="Tahoma" w:hAnsi="Tahoma" w:cs="Tahoma"/>
                <w:sz w:val="20"/>
                <w:szCs w:val="20"/>
              </w:rPr>
              <w:t>, 123</w:t>
            </w:r>
          </w:p>
          <w:p w14:paraId="002E6CEC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sz w:val="20"/>
                <w:szCs w:val="20"/>
              </w:rPr>
              <w:t>ЗАО «Альфа Телеком»</w:t>
            </w:r>
          </w:p>
          <w:p w14:paraId="1015432C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sz w:val="20"/>
                <w:szCs w:val="20"/>
              </w:rPr>
              <w:t>ИНН:</w:t>
            </w:r>
            <w:r w:rsidRPr="009B5F03">
              <w:rPr>
                <w:rFonts w:ascii="Tahoma" w:hAnsi="Tahoma" w:cs="Tahoma"/>
                <w:sz w:val="20"/>
                <w:szCs w:val="20"/>
              </w:rPr>
              <w:t xml:space="preserve"> 00406200910056</w:t>
            </w:r>
          </w:p>
          <w:p w14:paraId="1ABEB39F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sz w:val="20"/>
                <w:szCs w:val="20"/>
              </w:rPr>
              <w:t>Счет:</w:t>
            </w:r>
            <w:r w:rsidRPr="009B5F03">
              <w:rPr>
                <w:rFonts w:ascii="Tahoma" w:hAnsi="Tahoma" w:cs="Tahoma"/>
                <w:sz w:val="20"/>
                <w:szCs w:val="20"/>
              </w:rPr>
              <w:t xml:space="preserve"> № 1350100027537623</w:t>
            </w:r>
          </w:p>
          <w:p w14:paraId="20FDAB4B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sz w:val="20"/>
                <w:szCs w:val="20"/>
              </w:rPr>
              <w:t>ОАО «</w:t>
            </w:r>
            <w:proofErr w:type="spellStart"/>
            <w:r w:rsidRPr="009B5F03"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 w:rsidRPr="009B5F03">
              <w:rPr>
                <w:rFonts w:ascii="Tahoma" w:hAnsi="Tahoma" w:cs="Tahoma"/>
                <w:sz w:val="20"/>
                <w:szCs w:val="20"/>
              </w:rPr>
              <w:t xml:space="preserve"> Банк»</w:t>
            </w:r>
          </w:p>
          <w:p w14:paraId="3EA121B4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sz w:val="20"/>
                <w:szCs w:val="20"/>
              </w:rPr>
              <w:t>г. Бишкек, Кыргызская Республика</w:t>
            </w:r>
          </w:p>
          <w:p w14:paraId="4696DED7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5F03">
              <w:rPr>
                <w:rFonts w:ascii="Tahoma" w:hAnsi="Tahoma" w:cs="Tahoma"/>
                <w:b/>
                <w:sz w:val="20"/>
                <w:szCs w:val="20"/>
              </w:rPr>
              <w:t>БИК:</w:t>
            </w:r>
            <w:r w:rsidRPr="009B5F03">
              <w:rPr>
                <w:rFonts w:ascii="Tahoma" w:hAnsi="Tahoma" w:cs="Tahoma"/>
                <w:sz w:val="20"/>
                <w:szCs w:val="20"/>
              </w:rPr>
              <w:t xml:space="preserve"> 135001</w:t>
            </w:r>
          </w:p>
          <w:p w14:paraId="24EFBFE4" w14:textId="77777777" w:rsidR="0073427C" w:rsidRPr="009B5F03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142E1" w14:textId="77777777" w:rsidR="0073427C" w:rsidRPr="002D4927" w:rsidRDefault="0073427C" w:rsidP="00FA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B5F03">
              <w:rPr>
                <w:rFonts w:ascii="Tahoma" w:hAnsi="Tahoma" w:cs="Tahoma"/>
                <w:sz w:val="20"/>
                <w:szCs w:val="20"/>
              </w:rPr>
              <w:t>Мамытов</w:t>
            </w:r>
            <w:proofErr w:type="spellEnd"/>
            <w:r w:rsidRPr="009B5F03">
              <w:rPr>
                <w:rFonts w:ascii="Tahoma" w:hAnsi="Tahoma" w:cs="Tahoma"/>
                <w:sz w:val="20"/>
                <w:szCs w:val="20"/>
              </w:rPr>
              <w:t xml:space="preserve"> Н.Т.   _____________</w:t>
            </w:r>
          </w:p>
        </w:tc>
      </w:tr>
    </w:tbl>
    <w:p w14:paraId="31742C83" w14:textId="77777777" w:rsidR="0073427C" w:rsidRPr="00260B87" w:rsidRDefault="0073427C" w:rsidP="0073427C">
      <w:pPr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sectPr w:rsidR="0073427C" w:rsidRPr="00260B87" w:rsidSect="00650BE2">
      <w:footerReference w:type="default" r:id="rId11"/>
      <w:pgSz w:w="11906" w:h="16838"/>
      <w:pgMar w:top="709" w:right="849" w:bottom="567" w:left="993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6D93" w14:textId="77777777" w:rsidR="00D757C6" w:rsidRDefault="00D757C6">
      <w:pPr>
        <w:spacing w:after="0" w:line="240" w:lineRule="auto"/>
      </w:pPr>
      <w:r>
        <w:separator/>
      </w:r>
    </w:p>
  </w:endnote>
  <w:endnote w:type="continuationSeparator" w:id="0">
    <w:p w14:paraId="4395E126" w14:textId="77777777" w:rsidR="00D757C6" w:rsidRDefault="00D757C6">
      <w:pPr>
        <w:spacing w:after="0" w:line="240" w:lineRule="auto"/>
      </w:pPr>
      <w:r>
        <w:continuationSeparator/>
      </w:r>
    </w:p>
  </w:endnote>
  <w:endnote w:type="continuationNotice" w:id="1">
    <w:p w14:paraId="4A1A9EEC" w14:textId="77777777" w:rsidR="00D757C6" w:rsidRDefault="00D75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4C32E4A5" w:rsidR="002F247F" w:rsidRDefault="002F24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D5">
          <w:rPr>
            <w:noProof/>
          </w:rPr>
          <w:t>6</w:t>
        </w:r>
        <w:r>
          <w:fldChar w:fldCharType="end"/>
        </w:r>
      </w:p>
    </w:sdtContent>
  </w:sdt>
  <w:p w14:paraId="28F5C756" w14:textId="77777777" w:rsidR="002F247F" w:rsidRDefault="002F247F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69B58B1C" w14:textId="4911E7FC" w:rsidR="002F247F" w:rsidRPr="009914A9" w:rsidRDefault="002F247F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EA66D5">
          <w:rPr>
            <w:noProof/>
          </w:rPr>
          <w:t>8</w:t>
        </w:r>
        <w:r w:rsidRPr="009914A9">
          <w:fldChar w:fldCharType="end"/>
        </w:r>
      </w:p>
    </w:sdtContent>
  </w:sdt>
  <w:p w14:paraId="74A68D8E" w14:textId="77777777" w:rsidR="002F247F" w:rsidRDefault="002F24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BA60" w14:textId="77777777" w:rsidR="00D757C6" w:rsidRDefault="00D757C6">
      <w:pPr>
        <w:spacing w:after="0" w:line="240" w:lineRule="auto"/>
      </w:pPr>
      <w:r>
        <w:separator/>
      </w:r>
    </w:p>
  </w:footnote>
  <w:footnote w:type="continuationSeparator" w:id="0">
    <w:p w14:paraId="66F560C5" w14:textId="77777777" w:rsidR="00D757C6" w:rsidRDefault="00D757C6">
      <w:pPr>
        <w:spacing w:after="0" w:line="240" w:lineRule="auto"/>
      </w:pPr>
      <w:r>
        <w:continuationSeparator/>
      </w:r>
    </w:p>
  </w:footnote>
  <w:footnote w:type="continuationNotice" w:id="1">
    <w:p w14:paraId="626B2738" w14:textId="77777777" w:rsidR="00D757C6" w:rsidRDefault="00D757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028FA"/>
    <w:multiLevelType w:val="hybridMultilevel"/>
    <w:tmpl w:val="228E28DA"/>
    <w:lvl w:ilvl="0" w:tplc="04190011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8203E0F"/>
    <w:multiLevelType w:val="hybridMultilevel"/>
    <w:tmpl w:val="A3884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0" w15:restartNumberingAfterBreak="0">
    <w:nsid w:val="1DE62990"/>
    <w:multiLevelType w:val="hybridMultilevel"/>
    <w:tmpl w:val="7C346D2A"/>
    <w:lvl w:ilvl="0" w:tplc="041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1" w15:restartNumberingAfterBreak="0">
    <w:nsid w:val="20440537"/>
    <w:multiLevelType w:val="hybridMultilevel"/>
    <w:tmpl w:val="B28AEFCC"/>
    <w:lvl w:ilvl="0" w:tplc="D96A390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BD63984"/>
    <w:multiLevelType w:val="hybridMultilevel"/>
    <w:tmpl w:val="79D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1B45"/>
    <w:multiLevelType w:val="hybridMultilevel"/>
    <w:tmpl w:val="44283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81E42BF"/>
    <w:multiLevelType w:val="multilevel"/>
    <w:tmpl w:val="D31C89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3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4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6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2"/>
  </w:num>
  <w:num w:numId="4">
    <w:abstractNumId w:val="7"/>
  </w:num>
  <w:num w:numId="5">
    <w:abstractNumId w:val="27"/>
  </w:num>
  <w:num w:numId="6">
    <w:abstractNumId w:val="38"/>
  </w:num>
  <w:num w:numId="7">
    <w:abstractNumId w:val="20"/>
  </w:num>
  <w:num w:numId="8">
    <w:abstractNumId w:val="16"/>
  </w:num>
  <w:num w:numId="9">
    <w:abstractNumId w:val="3"/>
  </w:num>
  <w:num w:numId="10">
    <w:abstractNumId w:val="21"/>
  </w:num>
  <w:num w:numId="11">
    <w:abstractNumId w:val="23"/>
  </w:num>
  <w:num w:numId="12">
    <w:abstractNumId w:val="13"/>
  </w:num>
  <w:num w:numId="13">
    <w:abstractNumId w:val="2"/>
  </w:num>
  <w:num w:numId="14">
    <w:abstractNumId w:val="19"/>
  </w:num>
  <w:num w:numId="15">
    <w:abstractNumId w:val="12"/>
  </w:num>
  <w:num w:numId="16">
    <w:abstractNumId w:val="5"/>
  </w:num>
  <w:num w:numId="17">
    <w:abstractNumId w:val="28"/>
  </w:num>
  <w:num w:numId="18">
    <w:abstractNumId w:val="3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7"/>
  </w:num>
  <w:num w:numId="23">
    <w:abstractNumId w:val="1"/>
  </w:num>
  <w:num w:numId="24">
    <w:abstractNumId w:val="35"/>
  </w:num>
  <w:num w:numId="25">
    <w:abstractNumId w:val="33"/>
  </w:num>
  <w:num w:numId="26">
    <w:abstractNumId w:val="4"/>
  </w:num>
  <w:num w:numId="27">
    <w:abstractNumId w:val="26"/>
  </w:num>
  <w:num w:numId="28">
    <w:abstractNumId w:val="30"/>
  </w:num>
  <w:num w:numId="29">
    <w:abstractNumId w:val="17"/>
  </w:num>
  <w:num w:numId="30">
    <w:abstractNumId w:val="9"/>
  </w:num>
  <w:num w:numId="31">
    <w:abstractNumId w:val="24"/>
  </w:num>
  <w:num w:numId="32">
    <w:abstractNumId w:val="11"/>
  </w:num>
  <w:num w:numId="33">
    <w:abstractNumId w:val="6"/>
  </w:num>
  <w:num w:numId="34">
    <w:abstractNumId w:val="25"/>
  </w:num>
  <w:num w:numId="35">
    <w:abstractNumId w:val="8"/>
  </w:num>
  <w:num w:numId="36">
    <w:abstractNumId w:val="18"/>
  </w:num>
  <w:num w:numId="37">
    <w:abstractNumId w:val="10"/>
  </w:num>
  <w:num w:numId="38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0CA9"/>
    <w:rsid w:val="00291463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247F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2B15"/>
    <w:rsid w:val="00542B93"/>
    <w:rsid w:val="005451EF"/>
    <w:rsid w:val="0054564E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6CCB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0BE2"/>
    <w:rsid w:val="00655A60"/>
    <w:rsid w:val="00655B69"/>
    <w:rsid w:val="00656BDA"/>
    <w:rsid w:val="00657DBA"/>
    <w:rsid w:val="0066052D"/>
    <w:rsid w:val="006639DA"/>
    <w:rsid w:val="00663B3F"/>
    <w:rsid w:val="006668D8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05D2"/>
    <w:rsid w:val="006B36B1"/>
    <w:rsid w:val="006B5187"/>
    <w:rsid w:val="006B55A1"/>
    <w:rsid w:val="006B59DE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1EBC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427C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226D8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15E1"/>
    <w:rsid w:val="00964405"/>
    <w:rsid w:val="009657D6"/>
    <w:rsid w:val="00966A05"/>
    <w:rsid w:val="009673F6"/>
    <w:rsid w:val="0097013B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5324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323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6F03"/>
    <w:rsid w:val="00A86FDA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7BF"/>
    <w:rsid w:val="00B45B4C"/>
    <w:rsid w:val="00B477C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736F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531"/>
    <w:rsid w:val="00C34CBF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B1372"/>
    <w:rsid w:val="00CB18A2"/>
    <w:rsid w:val="00CB1FB5"/>
    <w:rsid w:val="00CB229B"/>
    <w:rsid w:val="00CB5CC8"/>
    <w:rsid w:val="00CB6616"/>
    <w:rsid w:val="00CB6CE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3180"/>
    <w:rsid w:val="00D063D1"/>
    <w:rsid w:val="00D146E2"/>
    <w:rsid w:val="00D22753"/>
    <w:rsid w:val="00D23B14"/>
    <w:rsid w:val="00D30BA0"/>
    <w:rsid w:val="00D310DB"/>
    <w:rsid w:val="00D32CD9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757C6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93FEE"/>
    <w:rsid w:val="00E95F55"/>
    <w:rsid w:val="00E97A7F"/>
    <w:rsid w:val="00EA0C6A"/>
    <w:rsid w:val="00EA1FA1"/>
    <w:rsid w:val="00EA64EA"/>
    <w:rsid w:val="00EA66D5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B32"/>
    <w:rsid w:val="00ED2D5B"/>
    <w:rsid w:val="00ED3A6C"/>
    <w:rsid w:val="00ED595E"/>
    <w:rsid w:val="00EE2FBD"/>
    <w:rsid w:val="00EE3814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2C92"/>
    <w:rsid w:val="00F43204"/>
    <w:rsid w:val="00F457D1"/>
    <w:rsid w:val="00F47128"/>
    <w:rsid w:val="00F47FA7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6B48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uiPriority w:val="99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2173-E484-44C1-9445-7C36D729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5655</Words>
  <Characters>32238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37818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41</cp:revision>
  <cp:lastPrinted>2022-11-21T04:50:00Z</cp:lastPrinted>
  <dcterms:created xsi:type="dcterms:W3CDTF">2022-09-28T06:10:00Z</dcterms:created>
  <dcterms:modified xsi:type="dcterms:W3CDTF">2022-11-22T02:50:00Z</dcterms:modified>
</cp:coreProperties>
</file>